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FFBC1D">
      <w:pPr>
        <w:jc w:val="center"/>
        <w:rPr>
          <w:rFonts w:ascii="Times New Roman" w:hAnsi="Times New Roman" w:cs="Times New Roman"/>
          <w:b/>
          <w:bCs/>
          <w:sz w:val="24"/>
          <w:szCs w:val="24"/>
        </w:rPr>
      </w:pPr>
      <w:r>
        <w:rPr>
          <w:rFonts w:ascii="Times New Roman" w:hAnsi="Times New Roman" w:cs="Times New Roman"/>
          <w:b/>
          <w:bCs/>
          <w:sz w:val="24"/>
          <w:szCs w:val="24"/>
        </w:rPr>
        <w:t>KNOW YOUR CLIENT</w:t>
      </w:r>
    </w:p>
    <w:p w14:paraId="2291A179">
      <w:pPr>
        <w:jc w:val="center"/>
        <w:rPr>
          <w:rFonts w:ascii="Times New Roman" w:hAnsi="Times New Roman" w:cs="Times New Roman"/>
          <w:b/>
          <w:bCs/>
          <w:sz w:val="24"/>
          <w:szCs w:val="24"/>
        </w:rPr>
      </w:pPr>
    </w:p>
    <w:p w14:paraId="44295DC3">
      <w:pPr>
        <w:jc w:val="center"/>
        <w:rPr>
          <w:rFonts w:ascii="Times New Roman" w:hAnsi="Times New Roman" w:cs="Times New Roman"/>
          <w:b/>
          <w:bCs/>
          <w:sz w:val="24"/>
          <w:szCs w:val="24"/>
        </w:rPr>
      </w:pPr>
    </w:p>
    <w:p w14:paraId="70F35FB6">
      <w:pPr>
        <w:jc w:val="center"/>
        <w:rPr>
          <w:rFonts w:ascii="Trebuchet MS" w:hAnsi="Trebuchet MS" w:eastAsia="+mj-ea" w:cs="+mj-cs"/>
          <w:color w:val="90C226"/>
          <w:kern w:val="24"/>
          <w:sz w:val="72"/>
          <w:szCs w:val="72"/>
          <w:lang w:eastAsia="en-ZA"/>
        </w:rPr>
      </w:pPr>
      <w:r>
        <w:rPr>
          <w:rFonts w:ascii="Trebuchet MS" w:hAnsi="Trebuchet MS" w:eastAsia="+mj-ea" w:cs="+mj-cs"/>
          <w:color w:val="90C226"/>
          <w:kern w:val="24"/>
          <w:sz w:val="72"/>
          <w:szCs w:val="72"/>
          <w:lang w:eastAsia="en-ZA"/>
        </w:rPr>
        <w:drawing>
          <wp:inline distT="0" distB="0" distL="0" distR="0">
            <wp:extent cx="2114550" cy="2162175"/>
            <wp:effectExtent l="0" t="0" r="3810" b="1905"/>
            <wp:docPr id="1172743611" name="Picture 1172743611" descr="C:\Users\E6420\Downloads\downloa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743611" name="Picture 1172743611" descr="C:\Users\E6420\Downloads\download.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2114550" cy="2162175"/>
                    </a:xfrm>
                    <a:prstGeom prst="rect">
                      <a:avLst/>
                    </a:prstGeom>
                    <a:noFill/>
                    <a:ln>
                      <a:noFill/>
                    </a:ln>
                  </pic:spPr>
                </pic:pic>
              </a:graphicData>
            </a:graphic>
          </wp:inline>
        </w:drawing>
      </w:r>
    </w:p>
    <w:p w14:paraId="56836F1E">
      <w:pPr>
        <w:jc w:val="center"/>
        <w:rPr>
          <w:rFonts w:ascii="Trebuchet MS" w:hAnsi="Trebuchet MS" w:eastAsia="+mj-ea" w:cs="+mj-cs"/>
          <w:color w:val="90C226"/>
          <w:kern w:val="24"/>
          <w:sz w:val="72"/>
          <w:szCs w:val="72"/>
          <w:lang w:eastAsia="en-ZA"/>
        </w:rPr>
      </w:pPr>
    </w:p>
    <w:p w14:paraId="343011E5">
      <w:pPr>
        <w:jc w:val="center"/>
        <w:rPr>
          <w:rFonts w:ascii="Times New Roman" w:hAnsi="Times New Roman" w:cs="Times New Roman"/>
          <w:b/>
          <w:bCs/>
          <w:sz w:val="24"/>
          <w:szCs w:val="24"/>
        </w:rPr>
      </w:pPr>
      <w:r>
        <w:rPr>
          <w:rFonts w:ascii="Times New Roman" w:hAnsi="Times New Roman" w:cs="Times New Roman"/>
          <w:b/>
          <w:bCs/>
          <w:sz w:val="24"/>
          <w:szCs w:val="24"/>
        </w:rPr>
        <w:t>By</w:t>
      </w:r>
    </w:p>
    <w:p w14:paraId="0F5AA8F5">
      <w:pPr>
        <w:jc w:val="center"/>
        <w:rPr>
          <w:rFonts w:ascii="Times New Roman" w:hAnsi="Times New Roman" w:cs="Times New Roman"/>
          <w:b/>
          <w:bCs/>
          <w:sz w:val="24"/>
          <w:szCs w:val="24"/>
        </w:rPr>
      </w:pPr>
    </w:p>
    <w:p w14:paraId="03141FAE">
      <w:pPr>
        <w:jc w:val="center"/>
        <w:rPr>
          <w:rFonts w:ascii="Times New Roman" w:hAnsi="Times New Roman" w:cs="Times New Roman"/>
          <w:b/>
          <w:bCs/>
          <w:sz w:val="24"/>
          <w:szCs w:val="24"/>
        </w:rPr>
      </w:pPr>
    </w:p>
    <w:p w14:paraId="4D3E631B">
      <w:pPr>
        <w:jc w:val="cente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Knowledge Keche</w:t>
      </w:r>
      <w:r>
        <w:rPr>
          <w:rFonts w:hint="default" w:ascii="Times New Roman" w:hAnsi="Times New Roman" w:cs="Times New Roman"/>
          <w:b/>
          <w:bCs/>
          <w:sz w:val="24"/>
          <w:szCs w:val="24"/>
          <w:lang w:val="en-US"/>
        </w:rPr>
        <w:tab/>
      </w:r>
      <w:r>
        <w:rPr>
          <w:rFonts w:hint="default" w:ascii="Times New Roman" w:hAnsi="Times New Roman" w:cs="Times New Roman"/>
          <w:b/>
          <w:bCs/>
          <w:sz w:val="24"/>
          <w:szCs w:val="24"/>
          <w:lang w:val="en-US"/>
        </w:rPr>
        <w:t xml:space="preserve">   R162841Q</w:t>
      </w:r>
      <w:r>
        <w:rPr>
          <w:rFonts w:hint="default" w:ascii="Times New Roman" w:hAnsi="Times New Roman" w:cs="Times New Roman"/>
          <w:b/>
          <w:bCs/>
          <w:sz w:val="24"/>
          <w:szCs w:val="24"/>
          <w:lang w:val="en-US"/>
        </w:rPr>
        <w:tab/>
      </w:r>
      <w:r>
        <w:rPr>
          <w:rFonts w:hint="default" w:ascii="Times New Roman" w:hAnsi="Times New Roman" w:cs="Times New Roman"/>
          <w:b/>
          <w:bCs/>
          <w:sz w:val="24"/>
          <w:szCs w:val="24"/>
          <w:lang w:val="en-US"/>
        </w:rPr>
        <w:tab/>
      </w:r>
      <w:r>
        <w:rPr>
          <w:rFonts w:hint="default" w:ascii="Times New Roman" w:hAnsi="Times New Roman" w:cs="Times New Roman"/>
          <w:b/>
          <w:bCs/>
          <w:sz w:val="24"/>
          <w:szCs w:val="24"/>
          <w:lang w:val="en-US"/>
        </w:rPr>
        <w:tab/>
      </w:r>
    </w:p>
    <w:p w14:paraId="7B5436E2">
      <w:pPr>
        <w:jc w:val="center"/>
        <w:rPr>
          <w:rFonts w:ascii="Times New Roman" w:hAnsi="Times New Roman" w:cs="Times New Roman"/>
          <w:b/>
          <w:bCs/>
          <w:sz w:val="24"/>
          <w:szCs w:val="24"/>
        </w:rPr>
      </w:pPr>
      <w:r>
        <w:rPr>
          <w:rFonts w:ascii="Times New Roman" w:hAnsi="Times New Roman" w:cs="Times New Roman"/>
          <w:b/>
          <w:bCs/>
          <w:sz w:val="24"/>
          <w:szCs w:val="24"/>
        </w:rPr>
        <w:t>Lennie G. Dube</w:t>
      </w:r>
      <w:r>
        <w:rPr>
          <w:rFonts w:ascii="Times New Roman" w:hAnsi="Times New Roman" w:cs="Times New Roman"/>
          <w:b/>
          <w:bCs/>
          <w:sz w:val="24"/>
          <w:szCs w:val="24"/>
        </w:rPr>
        <w:tab/>
      </w:r>
      <w:r>
        <w:rPr>
          <w:rFonts w:ascii="Times New Roman" w:hAnsi="Times New Roman" w:cs="Times New Roman"/>
          <w:b/>
          <w:bCs/>
          <w:sz w:val="24"/>
          <w:szCs w:val="24"/>
        </w:rPr>
        <w:t>R247540M</w:t>
      </w:r>
    </w:p>
    <w:p w14:paraId="2C2F9915">
      <w:pPr>
        <w:jc w:val="center"/>
        <w:rPr>
          <w:rFonts w:ascii="Times New Roman" w:hAnsi="Times New Roman" w:cs="Times New Roman"/>
          <w:b/>
          <w:bCs/>
          <w:sz w:val="24"/>
          <w:szCs w:val="24"/>
        </w:rPr>
      </w:pPr>
      <w:r>
        <w:rPr>
          <w:rFonts w:ascii="Times New Roman" w:hAnsi="Times New Roman" w:cs="Times New Roman"/>
          <w:b/>
          <w:bCs/>
          <w:sz w:val="24"/>
          <w:szCs w:val="24"/>
        </w:rPr>
        <w:t xml:space="preserve">Jonah T. Chigaba      R2410297J  </w:t>
      </w:r>
    </w:p>
    <w:p w14:paraId="459D3EEF">
      <w:pPr>
        <w:jc w:val="center"/>
        <w:rPr>
          <w:rFonts w:ascii="Times New Roman" w:hAnsi="Times New Roman" w:cs="Times New Roman"/>
          <w:b/>
          <w:bCs/>
          <w:sz w:val="24"/>
          <w:szCs w:val="24"/>
        </w:rPr>
      </w:pPr>
    </w:p>
    <w:p w14:paraId="2C62CAC6">
      <w:pPr>
        <w:jc w:val="center"/>
        <w:rPr>
          <w:rFonts w:ascii="Times New Roman" w:hAnsi="Times New Roman" w:cs="Times New Roman"/>
          <w:b/>
          <w:bCs/>
          <w:sz w:val="24"/>
          <w:szCs w:val="24"/>
        </w:rPr>
      </w:pPr>
    </w:p>
    <w:p w14:paraId="3A467D2F">
      <w:pPr>
        <w:jc w:val="center"/>
        <w:rPr>
          <w:rFonts w:ascii="Times New Roman" w:hAnsi="Times New Roman" w:cs="Times New Roman"/>
          <w:b/>
          <w:bCs/>
          <w:sz w:val="24"/>
          <w:szCs w:val="24"/>
        </w:rPr>
      </w:pPr>
    </w:p>
    <w:p w14:paraId="6ED2ADCB">
      <w:pPr>
        <w:jc w:val="center"/>
        <w:rPr>
          <w:rFonts w:ascii="Times New Roman" w:hAnsi="Times New Roman" w:cs="Times New Roman"/>
          <w:sz w:val="24"/>
          <w:szCs w:val="24"/>
        </w:rPr>
      </w:pPr>
      <w:r>
        <w:rPr>
          <w:rFonts w:ascii="Times New Roman" w:hAnsi="Times New Roman" w:cs="Times New Roman"/>
          <w:sz w:val="24"/>
          <w:szCs w:val="24"/>
        </w:rPr>
        <w:t>Project</w:t>
      </w:r>
    </w:p>
    <w:p w14:paraId="5C7AD3B9">
      <w:pPr>
        <w:jc w:val="center"/>
        <w:rPr>
          <w:rFonts w:ascii="Times New Roman" w:hAnsi="Times New Roman" w:cs="Times New Roman"/>
          <w:sz w:val="24"/>
          <w:szCs w:val="24"/>
        </w:rPr>
      </w:pPr>
    </w:p>
    <w:p w14:paraId="377B7FBC">
      <w:pPr>
        <w:jc w:val="center"/>
        <w:rPr>
          <w:rFonts w:ascii="Times New Roman" w:hAnsi="Times New Roman" w:cs="Times New Roman"/>
          <w:sz w:val="24"/>
          <w:szCs w:val="24"/>
        </w:rPr>
      </w:pPr>
      <w:r>
        <w:rPr>
          <w:rFonts w:ascii="Times New Roman" w:hAnsi="Times New Roman" w:cs="Times New Roman"/>
          <w:sz w:val="24"/>
          <w:szCs w:val="24"/>
        </w:rPr>
        <w:t xml:space="preserve">Submitted in partial fulfillment of the requirements of the degree of </w:t>
      </w:r>
    </w:p>
    <w:p w14:paraId="6BE1BB95">
      <w:pPr>
        <w:jc w:val="center"/>
        <w:rPr>
          <w:rFonts w:ascii="Times New Roman" w:hAnsi="Times New Roman" w:cs="Times New Roman"/>
          <w:sz w:val="24"/>
          <w:szCs w:val="24"/>
        </w:rPr>
      </w:pPr>
    </w:p>
    <w:p w14:paraId="2412057D">
      <w:pPr>
        <w:jc w:val="center"/>
        <w:rPr>
          <w:rFonts w:ascii="Times New Roman" w:hAnsi="Times New Roman" w:cs="Times New Roman"/>
          <w:sz w:val="24"/>
          <w:szCs w:val="24"/>
        </w:rPr>
      </w:pPr>
      <w:r>
        <w:rPr>
          <w:rFonts w:ascii="Times New Roman" w:hAnsi="Times New Roman" w:cs="Times New Roman"/>
          <w:sz w:val="24"/>
          <w:szCs w:val="24"/>
        </w:rPr>
        <w:t xml:space="preserve">Bachelor of Commerce Honours Degree in Data Science and Informatics </w:t>
      </w:r>
    </w:p>
    <w:p w14:paraId="139B2079">
      <w:pPr>
        <w:jc w:val="center"/>
        <w:rPr>
          <w:rFonts w:ascii="Times New Roman" w:hAnsi="Times New Roman" w:cs="Times New Roman"/>
          <w:sz w:val="24"/>
          <w:szCs w:val="24"/>
        </w:rPr>
      </w:pPr>
    </w:p>
    <w:p w14:paraId="4F8E0A9C">
      <w:pPr>
        <w:jc w:val="center"/>
        <w:rPr>
          <w:rFonts w:ascii="Times New Roman" w:hAnsi="Times New Roman" w:cs="Times New Roman"/>
          <w:sz w:val="24"/>
          <w:szCs w:val="24"/>
        </w:rPr>
      </w:pPr>
      <w:r>
        <w:rPr>
          <w:rFonts w:ascii="Times New Roman" w:hAnsi="Times New Roman" w:cs="Times New Roman"/>
          <w:sz w:val="24"/>
          <w:szCs w:val="24"/>
        </w:rPr>
        <w:t xml:space="preserve">Department of Information and Marketing Sciences </w:t>
      </w:r>
    </w:p>
    <w:p w14:paraId="0D60D306">
      <w:pPr>
        <w:jc w:val="center"/>
        <w:rPr>
          <w:rFonts w:ascii="Times New Roman" w:hAnsi="Times New Roman" w:cs="Times New Roman"/>
          <w:sz w:val="24"/>
          <w:szCs w:val="24"/>
        </w:rPr>
      </w:pPr>
    </w:p>
    <w:p w14:paraId="4554D48B">
      <w:pPr>
        <w:jc w:val="center"/>
        <w:rPr>
          <w:rFonts w:ascii="Times New Roman" w:hAnsi="Times New Roman" w:cs="Times New Roman"/>
          <w:sz w:val="24"/>
          <w:szCs w:val="24"/>
        </w:rPr>
      </w:pPr>
      <w:r>
        <w:rPr>
          <w:rFonts w:ascii="Times New Roman" w:hAnsi="Times New Roman" w:cs="Times New Roman"/>
          <w:sz w:val="24"/>
          <w:szCs w:val="24"/>
        </w:rPr>
        <w:t xml:space="preserve">in the </w:t>
      </w:r>
    </w:p>
    <w:p w14:paraId="25265E6F">
      <w:pPr>
        <w:jc w:val="center"/>
        <w:rPr>
          <w:rFonts w:ascii="Times New Roman" w:hAnsi="Times New Roman" w:cs="Times New Roman"/>
          <w:sz w:val="24"/>
          <w:szCs w:val="24"/>
        </w:rPr>
      </w:pPr>
    </w:p>
    <w:p w14:paraId="56DB0C24">
      <w:pPr>
        <w:jc w:val="center"/>
        <w:rPr>
          <w:rFonts w:ascii="Times New Roman" w:hAnsi="Times New Roman" w:cs="Times New Roman"/>
          <w:sz w:val="24"/>
          <w:szCs w:val="24"/>
        </w:rPr>
      </w:pPr>
      <w:r>
        <w:rPr>
          <w:rFonts w:ascii="Times New Roman" w:hAnsi="Times New Roman" w:cs="Times New Roman"/>
          <w:sz w:val="24"/>
          <w:szCs w:val="24"/>
        </w:rPr>
        <w:t>Faculty of Business Sciences</w:t>
      </w:r>
    </w:p>
    <w:p w14:paraId="668CDC36">
      <w:pPr>
        <w:jc w:val="center"/>
        <w:rPr>
          <w:rFonts w:ascii="Times New Roman" w:hAnsi="Times New Roman" w:cs="Times New Roman"/>
          <w:sz w:val="24"/>
          <w:szCs w:val="24"/>
        </w:rPr>
      </w:pPr>
    </w:p>
    <w:p w14:paraId="16CB399F">
      <w:pPr>
        <w:jc w:val="center"/>
        <w:rPr>
          <w:rFonts w:ascii="Times New Roman" w:hAnsi="Times New Roman" w:cs="Times New Roman"/>
          <w:sz w:val="24"/>
          <w:szCs w:val="24"/>
        </w:rPr>
      </w:pPr>
      <w:r>
        <w:rPr>
          <w:rFonts w:ascii="Times New Roman" w:hAnsi="Times New Roman" w:cs="Times New Roman"/>
          <w:sz w:val="24"/>
          <w:szCs w:val="24"/>
        </w:rPr>
        <w:t xml:space="preserve">at the </w:t>
      </w:r>
    </w:p>
    <w:p w14:paraId="3454FBE1">
      <w:pPr>
        <w:jc w:val="center"/>
        <w:rPr>
          <w:rFonts w:ascii="Times New Roman" w:hAnsi="Times New Roman" w:cs="Times New Roman"/>
          <w:sz w:val="24"/>
          <w:szCs w:val="24"/>
        </w:rPr>
      </w:pPr>
    </w:p>
    <w:p w14:paraId="35EFC6AE">
      <w:pPr>
        <w:jc w:val="center"/>
        <w:rPr>
          <w:rFonts w:ascii="Times New Roman" w:hAnsi="Times New Roman" w:cs="Times New Roman"/>
          <w:sz w:val="24"/>
          <w:szCs w:val="24"/>
        </w:rPr>
      </w:pPr>
      <w:r>
        <w:rPr>
          <w:rFonts w:ascii="Times New Roman" w:hAnsi="Times New Roman" w:cs="Times New Roman"/>
          <w:sz w:val="24"/>
          <w:szCs w:val="24"/>
        </w:rPr>
        <w:t>Midlands State University</w:t>
      </w:r>
    </w:p>
    <w:p w14:paraId="00C6C84B">
      <w:pPr>
        <w:jc w:val="center"/>
        <w:rPr>
          <w:rFonts w:ascii="Times New Roman" w:hAnsi="Times New Roman" w:cs="Times New Roman"/>
          <w:sz w:val="24"/>
          <w:szCs w:val="24"/>
        </w:rPr>
      </w:pPr>
    </w:p>
    <w:p w14:paraId="22DA1FB2">
      <w:pPr>
        <w:jc w:val="center"/>
        <w:rPr>
          <w:rFonts w:ascii="Times New Roman" w:hAnsi="Times New Roman" w:cs="Times New Roman"/>
          <w:sz w:val="24"/>
          <w:szCs w:val="24"/>
        </w:rPr>
      </w:pPr>
      <w:r>
        <w:rPr>
          <w:rFonts w:ascii="Times New Roman" w:hAnsi="Times New Roman" w:cs="Times New Roman"/>
          <w:sz w:val="24"/>
          <w:szCs w:val="24"/>
        </w:rPr>
        <w:t>Gweru/Harare</w:t>
      </w:r>
    </w:p>
    <w:p w14:paraId="510B090C">
      <w:pPr>
        <w:jc w:val="center"/>
        <w:rPr>
          <w:rFonts w:ascii="Times New Roman" w:hAnsi="Times New Roman" w:cs="Times New Roman"/>
          <w:sz w:val="24"/>
          <w:szCs w:val="24"/>
        </w:rPr>
      </w:pPr>
    </w:p>
    <w:p w14:paraId="6C7C64EF">
      <w:pPr>
        <w:jc w:val="center"/>
        <w:rPr>
          <w:rFonts w:ascii="Times New Roman" w:hAnsi="Times New Roman" w:cs="Times New Roman"/>
          <w:sz w:val="24"/>
          <w:szCs w:val="24"/>
        </w:rPr>
      </w:pPr>
      <w:r>
        <w:rPr>
          <w:rFonts w:ascii="Times New Roman" w:hAnsi="Times New Roman" w:cs="Times New Roman"/>
          <w:sz w:val="24"/>
          <w:szCs w:val="24"/>
        </w:rPr>
        <w:t>March 2026</w:t>
      </w:r>
    </w:p>
    <w:p w14:paraId="739514EE">
      <w:pPr>
        <w:jc w:val="center"/>
        <w:rPr>
          <w:rFonts w:ascii="Times New Roman" w:hAnsi="Times New Roman" w:cs="Times New Roman"/>
          <w:sz w:val="24"/>
          <w:szCs w:val="24"/>
        </w:rPr>
      </w:pPr>
    </w:p>
    <w:p w14:paraId="3A5FABDF">
      <w:pPr>
        <w:jc w:val="center"/>
        <w:rPr>
          <w:rFonts w:ascii="Times New Roman" w:hAnsi="Times New Roman" w:cs="Times New Roman"/>
          <w:sz w:val="24"/>
          <w:szCs w:val="24"/>
        </w:rPr>
      </w:pPr>
      <w:r>
        <w:rPr>
          <w:rFonts w:ascii="Times New Roman" w:hAnsi="Times New Roman" w:cs="Times New Roman"/>
          <w:sz w:val="24"/>
          <w:szCs w:val="24"/>
        </w:rPr>
        <w:t xml:space="preserve"> Bridget Munyoro</w:t>
      </w:r>
    </w:p>
    <w:p w14:paraId="4954717F">
      <w:pPr>
        <w:jc w:val="center"/>
        <w:rPr>
          <w:rFonts w:ascii="Times New Roman" w:hAnsi="Times New Roman" w:cs="Times New Roman"/>
          <w:sz w:val="24"/>
          <w:szCs w:val="24"/>
        </w:rPr>
      </w:pPr>
    </w:p>
    <w:p w14:paraId="2B14C8D7">
      <w:pPr>
        <w:jc w:val="center"/>
        <w:rPr>
          <w:rFonts w:ascii="Times New Roman" w:hAnsi="Times New Roman" w:cs="Times New Roman"/>
          <w:b/>
          <w:bCs/>
          <w:sz w:val="24"/>
          <w:szCs w:val="24"/>
        </w:rPr>
      </w:pPr>
    </w:p>
    <w:p w14:paraId="07913623">
      <w:pPr>
        <w:spacing w:line="360" w:lineRule="auto"/>
        <w:rPr>
          <w:rFonts w:ascii="Times New Roman" w:hAnsi="Times New Roman" w:cs="Times New Roman"/>
        </w:rPr>
      </w:pPr>
    </w:p>
    <w:p w14:paraId="48B19F6D">
      <w:pPr>
        <w:spacing w:line="360" w:lineRule="auto"/>
        <w:rPr>
          <w:rFonts w:ascii="Times New Roman" w:hAnsi="Times New Roman" w:cs="Times New Roman"/>
        </w:rPr>
      </w:pPr>
    </w:p>
    <w:p w14:paraId="48260DD8">
      <w:pPr>
        <w:spacing w:line="360" w:lineRule="auto"/>
        <w:rPr>
          <w:rFonts w:ascii="Times New Roman" w:hAnsi="Times New Roman" w:cs="Times New Roman"/>
        </w:rPr>
      </w:pPr>
    </w:p>
    <w:p w14:paraId="3DBB95CE">
      <w:pPr>
        <w:spacing w:line="360" w:lineRule="auto"/>
        <w:rPr>
          <w:rFonts w:ascii="Times New Roman" w:hAnsi="Times New Roman" w:cs="Times New Roman"/>
        </w:rPr>
      </w:pPr>
    </w:p>
    <w:p w14:paraId="05BCBB46">
      <w:pPr>
        <w:spacing w:line="360" w:lineRule="auto"/>
        <w:rPr>
          <w:rFonts w:ascii="Times New Roman" w:hAnsi="Times New Roman" w:cs="Times New Roman"/>
        </w:rPr>
      </w:pPr>
    </w:p>
    <w:p w14:paraId="51D8C99A">
      <w:pPr>
        <w:spacing w:line="360" w:lineRule="auto"/>
        <w:rPr>
          <w:rFonts w:ascii="Times New Roman" w:hAnsi="Times New Roman" w:cs="Times New Roman"/>
        </w:rPr>
      </w:pPr>
    </w:p>
    <w:p w14:paraId="65CDBF4F">
      <w:pPr>
        <w:spacing w:line="360" w:lineRule="auto"/>
        <w:rPr>
          <w:rFonts w:ascii="Times New Roman" w:hAnsi="Times New Roman" w:cs="Times New Roman"/>
        </w:rPr>
      </w:pPr>
    </w:p>
    <w:p w14:paraId="7DB95108">
      <w:pPr>
        <w:spacing w:line="360" w:lineRule="auto"/>
        <w:rPr>
          <w:rFonts w:ascii="Times New Roman" w:hAnsi="Times New Roman" w:cs="Times New Roman"/>
        </w:rPr>
      </w:pPr>
    </w:p>
    <w:p w14:paraId="67D75142">
      <w:pPr>
        <w:spacing w:line="360" w:lineRule="auto"/>
        <w:rPr>
          <w:rFonts w:ascii="Times New Roman" w:hAnsi="Times New Roman" w:cs="Times New Roman"/>
          <w:b/>
          <w:bCs/>
        </w:rPr>
      </w:pPr>
      <w:r>
        <w:rPr>
          <w:rFonts w:ascii="Times New Roman" w:hAnsi="Times New Roman" w:cs="Times New Roman"/>
          <w:b/>
          <w:bCs/>
        </w:rPr>
        <w:t>Chapter 1: Introducti</w:t>
      </w:r>
      <w:bookmarkStart w:id="0" w:name="_GoBack"/>
      <w:bookmarkEnd w:id="0"/>
      <w:r>
        <w:rPr>
          <w:rFonts w:ascii="Times New Roman" w:hAnsi="Times New Roman" w:cs="Times New Roman"/>
          <w:b/>
          <w:bCs/>
        </w:rPr>
        <w:t>on</w:t>
      </w:r>
    </w:p>
    <w:p w14:paraId="4A554AE2">
      <w:pPr>
        <w:spacing w:line="360" w:lineRule="auto"/>
        <w:rPr>
          <w:rFonts w:ascii="Times New Roman" w:hAnsi="Times New Roman" w:cs="Times New Roman"/>
          <w:b/>
          <w:bCs/>
        </w:rPr>
      </w:pPr>
      <w:r>
        <w:rPr>
          <w:rFonts w:ascii="Times New Roman" w:hAnsi="Times New Roman" w:cs="Times New Roman"/>
          <w:b/>
          <w:bCs/>
        </w:rPr>
        <w:t>1.1 Background to the Study</w:t>
      </w:r>
    </w:p>
    <w:p w14:paraId="4526AE3F">
      <w:pPr>
        <w:spacing w:line="360" w:lineRule="auto"/>
        <w:rPr>
          <w:rFonts w:ascii="Times New Roman" w:hAnsi="Times New Roman" w:cs="Times New Roman"/>
        </w:rPr>
      </w:pPr>
      <w:r>
        <w:rPr>
          <w:rFonts w:ascii="Times New Roman" w:hAnsi="Times New Roman" w:cs="Times New Roman"/>
        </w:rPr>
        <w:t>Access to formal financial services is widely regarded not merely as a convenience, but as one of the most structurally significant enablers of poverty alleviation that development economics has identified. Despite decades of policy attention and institutional reform, the persistence of financial exclusion across much of the developing world remains a pressing concern. The World Bank (2022) estimates that approximately 1.4 billion adults globally continue to operate outside the formal banking system, lacking access to any regulated financial institution. Sub-Saharan Africa accounts for a disproportionate share of this deficit, and Zimbabwe occupies a particularly instructive position within that regional landscape.</w:t>
      </w:r>
    </w:p>
    <w:p w14:paraId="77F7812C">
      <w:pPr>
        <w:spacing w:line="360" w:lineRule="auto"/>
        <w:rPr>
          <w:rFonts w:ascii="Times New Roman" w:hAnsi="Times New Roman" w:cs="Times New Roman"/>
        </w:rPr>
      </w:pPr>
      <w:r>
        <w:rPr>
          <w:rFonts w:ascii="Times New Roman" w:hAnsi="Times New Roman" w:cs="Times New Roman"/>
        </w:rPr>
        <w:t xml:space="preserve">On the surface, Zimbabwe's financial sector presents a reasonably developed institutional architecture. The country is served by commercial banks, deposit-taking microfinance institutions, building societies, and a mobile money ecosystem centred predominantly on </w:t>
      </w:r>
      <w:r>
        <w:rPr>
          <w:rFonts w:ascii="Times New Roman" w:hAnsi="Times New Roman" w:cs="Times New Roman"/>
          <w:lang w:val="en-US"/>
        </w:rPr>
        <w:t>Eco-Cash</w:t>
      </w:r>
      <w:r>
        <w:rPr>
          <w:rFonts w:ascii="Times New Roman" w:hAnsi="Times New Roman" w:cs="Times New Roman"/>
        </w:rPr>
        <w:t>. Yet institutional breadth alone does not translate into broad-based access. The FinScope Zimbabwe Survey (2022) found that approximately 38 per cent of Zimbabwean adults remained entirely outside the formal financial system — a figure that speaks to the depth of structural barriers operating beneath the surface of apparent institutional capacity.</w:t>
      </w:r>
    </w:p>
    <w:p w14:paraId="6D237077">
      <w:pPr>
        <w:spacing w:line="360" w:lineRule="auto"/>
        <w:rPr>
          <w:rFonts w:ascii="Times New Roman" w:hAnsi="Times New Roman" w:cs="Times New Roman"/>
          <w:b/>
          <w:bCs/>
        </w:rPr>
      </w:pPr>
      <w:r>
        <w:rPr>
          <w:rFonts w:ascii="Times New Roman" w:hAnsi="Times New Roman" w:cs="Times New Roman"/>
          <w:b/>
          <w:bCs/>
        </w:rPr>
        <w:t>1.2 Background and Context of the Project</w:t>
      </w:r>
    </w:p>
    <w:p w14:paraId="039E6C43">
      <w:pPr>
        <w:spacing w:line="360" w:lineRule="auto"/>
        <w:rPr>
          <w:rFonts w:ascii="Times New Roman" w:hAnsi="Times New Roman" w:cs="Times New Roman"/>
        </w:rPr>
      </w:pPr>
      <w:r>
        <w:rPr>
          <w:rFonts w:ascii="Times New Roman" w:hAnsi="Times New Roman" w:cs="Times New Roman"/>
        </w:rPr>
        <w:t>Among the factors driving financial exclusion in Zimbabwe, one tends to attract less analytical scrutiny than its impact warrants: the regulatory requirements collectively known as Know Your Customer, or KYC. Rooted in the global anti-money laundering (AML) and counter-terrorism financing (CTF) frameworks championed by the Financial Action Task Force (FATF), KYC obligations are fundamentally premised on a straightforward principle — that financial institutions must verify the identity of their customers before conducting business with them. In Zimbabwe, this requirement is given statutory force through the Money Laundering and Proceeds of Crime Act (Chapter 9:24), the Banking Act (Chapter 24:20), and the Reserve Bank of Zimbabwe's AML/CTF guidelines, which together mandate the collection, verification, and retention of specific identity documentation prior to account opening or service provision (Reserve Bank of Zimbabwe, 2021).</w:t>
      </w:r>
    </w:p>
    <w:p w14:paraId="6FABF086">
      <w:pPr>
        <w:spacing w:line="360" w:lineRule="auto"/>
        <w:rPr>
          <w:rFonts w:ascii="Times New Roman" w:hAnsi="Times New Roman" w:cs="Times New Roman"/>
        </w:rPr>
      </w:pPr>
      <w:r>
        <w:rPr>
          <w:rFonts w:ascii="Times New Roman" w:hAnsi="Times New Roman" w:cs="Times New Roman"/>
        </w:rPr>
        <w:t xml:space="preserve">The regulatory rationale for these requirements is difficult to contest in principle. The integrity of the financial system depends, at a fundamental level, on institutions knowing who they are dealing with. However, the practical application of KYC frameworks in Zimbabwe reveals a deeply uncomfortable contradiction. A substantial proportion of the population — particularly those residing in rural communities, workers engaged in the informal economy, women, and elderly citizens — simply do not possess the documentation that standard KYC processes demand: a valid national identity card, proof of residential address in the form of a utility bill or bank statement, and in some contexts, a Tax Identification Number. The consequence is that a regulatory architecture designed to protect the financial system from misuse functions, in practice, as a </w:t>
      </w:r>
      <w:r>
        <w:rPr>
          <w:rFonts w:ascii="Times New Roman" w:hAnsi="Times New Roman" w:cs="Times New Roman"/>
          <w:lang w:val="en-US"/>
        </w:rPr>
        <w:t>gate-keeping</w:t>
      </w:r>
      <w:r>
        <w:rPr>
          <w:rFonts w:ascii="Times New Roman" w:hAnsi="Times New Roman" w:cs="Times New Roman"/>
        </w:rPr>
        <w:t xml:space="preserve"> mechanism that systematically excludes the very segments of the population with the greatest need for financial access. This study employs data science methods to model, quantify, and interrogate that dynamic, with the aim of generating evidence capable of informing KYC policy that is both proportionate in its compliance demands and genuinely inclusive in its outcomes.</w:t>
      </w:r>
    </w:p>
    <w:p w14:paraId="323728A3">
      <w:pPr>
        <w:spacing w:line="360" w:lineRule="auto"/>
        <w:rPr>
          <w:rFonts w:ascii="Times New Roman" w:hAnsi="Times New Roman" w:cs="Times New Roman"/>
          <w:b/>
          <w:bCs/>
        </w:rPr>
      </w:pPr>
      <w:r>
        <w:rPr>
          <w:rFonts w:ascii="Times New Roman" w:hAnsi="Times New Roman" w:cs="Times New Roman"/>
          <w:b/>
          <w:bCs/>
        </w:rPr>
        <w:t>1.2.1 Current State of Knowledge</w:t>
      </w:r>
    </w:p>
    <w:p w14:paraId="091EB4AF">
      <w:pPr>
        <w:spacing w:line="360" w:lineRule="auto"/>
        <w:rPr>
          <w:rFonts w:ascii="Times New Roman" w:hAnsi="Times New Roman" w:cs="Times New Roman"/>
        </w:rPr>
      </w:pPr>
      <w:r>
        <w:rPr>
          <w:rFonts w:ascii="Times New Roman" w:hAnsi="Times New Roman" w:cs="Times New Roman"/>
        </w:rPr>
        <w:t>Zimbabwe's policy landscape has not been silent on the imperative of financial inclusion. Both the Zimbabwe National Financial Inclusion Strategy II (ZNFIS II, 2022–2026) and the National Development Strategy 1 (NDS1, 2021–2025) explicitly position the expansion of formal financial access as a national development priority (Ministry of Finance and Economic Development, 2021; Reserve Bank of Zimbabwe, 2022). Nevertheless, tangible progress has remained slower than these commitments might suggest, and much of that gap can be traced to a structural tension that has not received the analytical attention it deserves.</w:t>
      </w:r>
    </w:p>
    <w:p w14:paraId="7A064B47">
      <w:pPr>
        <w:spacing w:line="360" w:lineRule="auto"/>
        <w:rPr>
          <w:rFonts w:ascii="Times New Roman" w:hAnsi="Times New Roman" w:cs="Times New Roman"/>
        </w:rPr>
      </w:pPr>
      <w:r>
        <w:rPr>
          <w:rFonts w:ascii="Times New Roman" w:hAnsi="Times New Roman" w:cs="Times New Roman"/>
        </w:rPr>
        <w:t xml:space="preserve">Financial institutions operating within Zimbabwe's regulatory environment face real penalties for non-compliance with KYC standards. Faced with this regulatory exposure, they understandably default to conservative </w:t>
      </w:r>
      <w:r>
        <w:rPr>
          <w:rFonts w:ascii="Times New Roman" w:hAnsi="Times New Roman" w:cs="Times New Roman"/>
          <w:lang w:val="en-US"/>
        </w:rPr>
        <w:t>on-boarding</w:t>
      </w:r>
      <w:r>
        <w:rPr>
          <w:rFonts w:ascii="Times New Roman" w:hAnsi="Times New Roman" w:cs="Times New Roman"/>
        </w:rPr>
        <w:t xml:space="preserve"> practices — frequently applying documentation requirements that exceed what the law actually prescribes (FinScope, 2022). The result is a pattern of institutional over-compliance that generates exclusionary outcomes not through deliberate discrimination, but through the rational risk management behaviour of regulated entities operating under conditions of regulatory ambiguity.</w:t>
      </w:r>
    </w:p>
    <w:p w14:paraId="5E82DB5A">
      <w:pPr>
        <w:spacing w:line="360" w:lineRule="auto"/>
        <w:rPr>
          <w:rFonts w:ascii="Times New Roman" w:hAnsi="Times New Roman" w:cs="Times New Roman"/>
          <w:b/>
          <w:bCs/>
        </w:rPr>
      </w:pPr>
      <w:r>
        <w:rPr>
          <w:rFonts w:ascii="Times New Roman" w:hAnsi="Times New Roman" w:cs="Times New Roman"/>
          <w:b/>
          <w:bCs/>
        </w:rPr>
        <w:t>1.2.2 Gap Identification</w:t>
      </w:r>
    </w:p>
    <w:p w14:paraId="5D25EF93">
      <w:pPr>
        <w:spacing w:line="360" w:lineRule="auto"/>
        <w:rPr>
          <w:rFonts w:ascii="Times New Roman" w:hAnsi="Times New Roman" w:cs="Times New Roman"/>
        </w:rPr>
      </w:pPr>
      <w:r>
        <w:rPr>
          <w:rFonts w:ascii="Times New Roman" w:hAnsi="Times New Roman" w:cs="Times New Roman"/>
        </w:rPr>
        <w:t>The regulatory framework itself amplifies this dynamic in several respects. Implementation of KYC requirements varies considerably across institution types; there is no nationally standardised tiered KYC system that would permit lower-risk customers to access services with a reduced documentation burden; and the digital identity infrastructure that might reduce compliance costs while simultaneously expanding access remains significantly underdeveloped (World Bank, 2022; FATF, 2020). Taken together, these factors — institutional over-compliance layered upon regulatory inconsistency — generate an exclusion burden that falls with particular severity on specific demographic groups.</w:t>
      </w:r>
    </w:p>
    <w:p w14:paraId="1364B91D">
      <w:pPr>
        <w:spacing w:line="360" w:lineRule="auto"/>
        <w:rPr>
          <w:rFonts w:ascii="Times New Roman" w:hAnsi="Times New Roman" w:cs="Times New Roman"/>
        </w:rPr>
      </w:pPr>
      <w:r>
        <w:rPr>
          <w:rFonts w:ascii="Times New Roman" w:hAnsi="Times New Roman" w:cs="Times New Roman"/>
        </w:rPr>
        <w:t>What is notable, and what motivates the present study, is how little rigorous quantitative analysis has been applied to this problem within Zimbabwe's specific context. The existing body of literature is predominantly qualitative or policy-descriptive in character, offering important narrative insights but limited capacity for systematic measurement or predictive modelling. This dissertation represents a deliberate attempt to address that methodological gap.</w:t>
      </w:r>
    </w:p>
    <w:p w14:paraId="1A1E57CB">
      <w:pPr>
        <w:spacing w:line="360" w:lineRule="auto"/>
        <w:rPr>
          <w:rFonts w:ascii="Times New Roman" w:hAnsi="Times New Roman" w:cs="Times New Roman"/>
          <w:b/>
          <w:bCs/>
        </w:rPr>
      </w:pPr>
      <w:r>
        <w:rPr>
          <w:rFonts w:ascii="Times New Roman" w:hAnsi="Times New Roman" w:cs="Times New Roman"/>
          <w:b/>
          <w:bCs/>
        </w:rPr>
        <w:t>1.3 Problem Statement</w:t>
      </w:r>
    </w:p>
    <w:p w14:paraId="191ABA73">
      <w:pPr>
        <w:spacing w:line="360" w:lineRule="auto"/>
        <w:rPr>
          <w:rFonts w:ascii="Times New Roman" w:hAnsi="Times New Roman" w:cs="Times New Roman"/>
        </w:rPr>
      </w:pPr>
      <w:r>
        <w:rPr>
          <w:rFonts w:ascii="Times New Roman" w:hAnsi="Times New Roman" w:cs="Times New Roman"/>
        </w:rPr>
        <w:t>Although Zimbabwe possesses a comparatively developed financial sector, encompassing commercial banks, microfinance institutions, building societies, and a mobile money ecosystem, a significant proportion of its adult population remains excluded from formal financial services. The World Bank (2022) underscores the global scale of this challenge, estimating that 1.4 billion adults lack access to banks or formal financial institutions, with Sub-Saharan Africa disproportionately represented. Zimbabwe reflects this broader regional pattern; the FinScope Zimbabwe Survey (2022) found that 38 per cent of adults remain outside the formal financial system. This exclusion forecloses one of the most reliable pathways out of poverty, constraining economic participation and perpetuating vulnerability among already marginalised groups. At the centre of this exclusion lies a regulatory paradox: compliance frameworks intended to uphold financial integrity are, in practice, functioning as barriers to access.</w:t>
      </w:r>
    </w:p>
    <w:p w14:paraId="316F8DFE">
      <w:pPr>
        <w:spacing w:line="360" w:lineRule="auto"/>
        <w:rPr>
          <w:rFonts w:ascii="Times New Roman" w:hAnsi="Times New Roman" w:cs="Times New Roman"/>
          <w:b/>
          <w:bCs/>
        </w:rPr>
      </w:pPr>
      <w:r>
        <w:rPr>
          <w:rFonts w:ascii="Times New Roman" w:hAnsi="Times New Roman" w:cs="Times New Roman"/>
          <w:b/>
          <w:bCs/>
        </w:rPr>
        <w:t>1.4 Project Aim</w:t>
      </w:r>
    </w:p>
    <w:p w14:paraId="1FA7164D">
      <w:pPr>
        <w:spacing w:line="360" w:lineRule="auto"/>
        <w:rPr>
          <w:rFonts w:ascii="Times New Roman" w:hAnsi="Times New Roman" w:cs="Times New Roman"/>
        </w:rPr>
      </w:pPr>
      <w:r>
        <w:rPr>
          <w:rFonts w:ascii="Times New Roman" w:hAnsi="Times New Roman" w:cs="Times New Roman"/>
        </w:rPr>
        <w:t>This study aims to analyse the extent to which Know Your Customer (KYC) compliance gaps contribute to financial exclusion in Zimbabwe, and to develop data-driven models and evidence-based policy recommendations capable of reconciling the competing imperatives of regulatory integrity and inclusive access to financial services.</w:t>
      </w:r>
    </w:p>
    <w:p w14:paraId="680F5752">
      <w:pPr>
        <w:spacing w:line="360" w:lineRule="auto"/>
        <w:rPr>
          <w:rFonts w:ascii="Times New Roman" w:hAnsi="Times New Roman" w:cs="Times New Roman"/>
          <w:b/>
          <w:bCs/>
        </w:rPr>
      </w:pPr>
      <w:r>
        <w:rPr>
          <w:rFonts w:ascii="Times New Roman" w:hAnsi="Times New Roman" w:cs="Times New Roman"/>
          <w:b/>
          <w:bCs/>
        </w:rPr>
        <w:t>1.5 Research Objectives</w:t>
      </w:r>
    </w:p>
    <w:p w14:paraId="2F95CC57">
      <w:pPr>
        <w:spacing w:line="360" w:lineRule="auto"/>
        <w:rPr>
          <w:rFonts w:ascii="Times New Roman" w:hAnsi="Times New Roman" w:cs="Times New Roman"/>
        </w:rPr>
      </w:pPr>
      <w:r>
        <w:rPr>
          <w:rFonts w:ascii="Times New Roman" w:hAnsi="Times New Roman" w:cs="Times New Roman"/>
        </w:rPr>
        <w:t>The study is structured around a primary objective and a set of supporting secondary objectives.</w:t>
      </w:r>
    </w:p>
    <w:p w14:paraId="20CD007F">
      <w:pPr>
        <w:spacing w:line="360" w:lineRule="auto"/>
        <w:rPr>
          <w:rFonts w:ascii="Times New Roman" w:hAnsi="Times New Roman" w:cs="Times New Roman"/>
        </w:rPr>
      </w:pPr>
      <w:r>
        <w:rPr>
          <w:rFonts w:ascii="Times New Roman" w:hAnsi="Times New Roman" w:cs="Times New Roman"/>
          <w:b/>
          <w:bCs/>
        </w:rPr>
        <w:t>Primary Objective:</w:t>
      </w:r>
      <w:r>
        <w:rPr>
          <w:rFonts w:ascii="Times New Roman" w:hAnsi="Times New Roman" w:cs="Times New Roman"/>
        </w:rPr>
        <w:t xml:space="preserve"> To model the impact of KYC compliance gaps on financial exclusion outcomes in Zimbabwe using machine learning and statistical methods.</w:t>
      </w:r>
    </w:p>
    <w:p w14:paraId="7398C846">
      <w:pPr>
        <w:spacing w:line="360" w:lineRule="auto"/>
        <w:rPr>
          <w:rFonts w:ascii="Times New Roman" w:hAnsi="Times New Roman" w:cs="Times New Roman"/>
        </w:rPr>
      </w:pPr>
      <w:r>
        <w:rPr>
          <w:rFonts w:ascii="Times New Roman" w:hAnsi="Times New Roman" w:cs="Times New Roman"/>
          <w:b/>
          <w:bCs/>
        </w:rPr>
        <w:t>Secondary Objectives:</w:t>
      </w:r>
    </w:p>
    <w:p w14:paraId="474811DA">
      <w:pPr>
        <w:numPr>
          <w:ilvl w:val="0"/>
          <w:numId w:val="1"/>
        </w:numPr>
        <w:spacing w:line="360" w:lineRule="auto"/>
        <w:rPr>
          <w:rFonts w:ascii="Times New Roman" w:hAnsi="Times New Roman" w:cs="Times New Roman"/>
        </w:rPr>
      </w:pPr>
      <w:r>
        <w:rPr>
          <w:rFonts w:ascii="Times New Roman" w:hAnsi="Times New Roman" w:cs="Times New Roman"/>
        </w:rPr>
        <w:t>To identify and operationalise the key KYC-related variables that predict financial exclusion at both the individual and institutional level in Zimbabwe.</w:t>
      </w:r>
    </w:p>
    <w:p w14:paraId="32E1ABBE">
      <w:pPr>
        <w:numPr>
          <w:ilvl w:val="0"/>
          <w:numId w:val="1"/>
        </w:numPr>
        <w:spacing w:line="360" w:lineRule="auto"/>
        <w:rPr>
          <w:rFonts w:ascii="Times New Roman" w:hAnsi="Times New Roman" w:cs="Times New Roman"/>
        </w:rPr>
      </w:pPr>
      <w:r>
        <w:rPr>
          <w:rFonts w:ascii="Times New Roman" w:hAnsi="Times New Roman" w:cs="Times New Roman"/>
        </w:rPr>
        <w:t>To construct a Financial Exclusion Risk Index (FERI) that quantifies the combined effect of KYC barriers across demographic and geographic segments.</w:t>
      </w:r>
    </w:p>
    <w:p w14:paraId="16865FCF">
      <w:pPr>
        <w:numPr>
          <w:ilvl w:val="0"/>
          <w:numId w:val="1"/>
        </w:numPr>
        <w:spacing w:line="360" w:lineRule="auto"/>
        <w:rPr>
          <w:rFonts w:ascii="Times New Roman" w:hAnsi="Times New Roman" w:cs="Times New Roman"/>
        </w:rPr>
      </w:pPr>
      <w:r>
        <w:rPr>
          <w:rFonts w:ascii="Times New Roman" w:hAnsi="Times New Roman" w:cs="Times New Roman"/>
        </w:rPr>
        <w:t>To compare the predictive performance of logistic regression, Random Forest, and gradient boosting models in classifying financially excluded individuals.</w:t>
      </w:r>
    </w:p>
    <w:p w14:paraId="3C163C20">
      <w:pPr>
        <w:numPr>
          <w:ilvl w:val="0"/>
          <w:numId w:val="1"/>
        </w:numPr>
        <w:spacing w:line="360" w:lineRule="auto"/>
        <w:rPr>
          <w:rFonts w:ascii="Times New Roman" w:hAnsi="Times New Roman" w:cs="Times New Roman"/>
        </w:rPr>
      </w:pPr>
      <w:r>
        <w:rPr>
          <w:rFonts w:ascii="Times New Roman" w:hAnsi="Times New Roman" w:cs="Times New Roman"/>
        </w:rPr>
        <w:t>To identify the demographic groups most disproportionately affected by KYC compliance gaps in Zimbabwe.</w:t>
      </w:r>
    </w:p>
    <w:p w14:paraId="3C0D6CBE">
      <w:pPr>
        <w:numPr>
          <w:ilvl w:val="0"/>
          <w:numId w:val="1"/>
        </w:numPr>
        <w:spacing w:line="360" w:lineRule="auto"/>
        <w:rPr>
          <w:rFonts w:ascii="Times New Roman" w:hAnsi="Times New Roman" w:cs="Times New Roman"/>
        </w:rPr>
      </w:pPr>
      <w:r>
        <w:rPr>
          <w:rFonts w:ascii="Times New Roman" w:hAnsi="Times New Roman" w:cs="Times New Roman"/>
        </w:rPr>
        <w:t>To develop evidence-based policy recommendations for a tiered KYC framework that balances AML/CTF compliance with financial inclusion imperatives.</w:t>
      </w:r>
    </w:p>
    <w:p w14:paraId="6A119C0C">
      <w:pPr>
        <w:spacing w:line="360" w:lineRule="auto"/>
        <w:rPr>
          <w:rFonts w:ascii="Times New Roman" w:hAnsi="Times New Roman" w:cs="Times New Roman"/>
          <w:b/>
          <w:bCs/>
        </w:rPr>
      </w:pPr>
      <w:r>
        <w:rPr>
          <w:rFonts w:ascii="Times New Roman" w:hAnsi="Times New Roman" w:cs="Times New Roman"/>
          <w:b/>
          <w:bCs/>
        </w:rPr>
        <w:t>1.6 Motivation of the Project</w:t>
      </w:r>
    </w:p>
    <w:p w14:paraId="409C6F32">
      <w:pPr>
        <w:spacing w:line="360" w:lineRule="auto"/>
        <w:rPr>
          <w:rFonts w:ascii="Times New Roman" w:hAnsi="Times New Roman" w:cs="Times New Roman"/>
        </w:rPr>
      </w:pPr>
      <w:r>
        <w:rPr>
          <w:rFonts w:ascii="Times New Roman" w:hAnsi="Times New Roman" w:cs="Times New Roman"/>
        </w:rPr>
        <w:t>The impetus for this study arises from a recognition that financial exclusion in Zimbabwe is not simply a product of poverty or geographic remoteness, but is, to a significant degree, structurally produced by the regulatory environment within which financial institutions operate. KYC compliance requirements — though essential for safeguarding the financial system against money laundering and the financing of terrorism — impose documentation burdens that are neither uniformly achievable nor equitably distributed across the population (FATF, 2020; World Bank, 2022). The consequence is a regulatory paradox in which the apparatus of financial integrity simultaneously functions as a mechanism of financial exclusion.</w:t>
      </w:r>
    </w:p>
    <w:p w14:paraId="4C62AE26">
      <w:pPr>
        <w:spacing w:line="360" w:lineRule="auto"/>
        <w:rPr>
          <w:rFonts w:ascii="Times New Roman" w:hAnsi="Times New Roman" w:cs="Times New Roman"/>
        </w:rPr>
      </w:pPr>
      <w:r>
        <w:rPr>
          <w:rFonts w:ascii="Times New Roman" w:hAnsi="Times New Roman" w:cs="Times New Roman"/>
        </w:rPr>
        <w:t xml:space="preserve">This study is motivated by the dual imperative of strengthening financial integrity while expanding access to reliable financial services. By employing machine learning and statistical modelling to quantify the relationship between KYC compliance gaps and exclusion outcomes, the research seeks to generate actionable insights that can assist policymakers, regulators, and financial institutions in designing frameworks that achieve compliance without foreclosing access — thereby unlocking economic participation for </w:t>
      </w:r>
      <w:r>
        <w:rPr>
          <w:rFonts w:ascii="Times New Roman" w:hAnsi="Times New Roman" w:cs="Times New Roman"/>
          <w:lang w:val="en-US"/>
        </w:rPr>
        <w:t>marginalized</w:t>
      </w:r>
      <w:r>
        <w:rPr>
          <w:rFonts w:ascii="Times New Roman" w:hAnsi="Times New Roman" w:cs="Times New Roman"/>
        </w:rPr>
        <w:t xml:space="preserve"> groups and contributing to Zimbabwe's broader Vision 2030 development agenda (Government of Zimbabwe, 2018).</w:t>
      </w:r>
    </w:p>
    <w:p w14:paraId="00BFD19C">
      <w:pPr>
        <w:spacing w:line="360" w:lineRule="auto"/>
        <w:rPr>
          <w:rFonts w:ascii="Times New Roman" w:hAnsi="Times New Roman" w:cs="Times New Roman"/>
          <w:b/>
          <w:bCs/>
        </w:rPr>
      </w:pPr>
      <w:r>
        <w:rPr>
          <w:rFonts w:ascii="Times New Roman" w:hAnsi="Times New Roman" w:cs="Times New Roman"/>
          <w:b/>
          <w:bCs/>
        </w:rPr>
        <w:t>1.7 Stakeholders</w:t>
      </w:r>
    </w:p>
    <w:p w14:paraId="59D8ED11">
      <w:pPr>
        <w:spacing w:line="360" w:lineRule="auto"/>
        <w:rPr>
          <w:rFonts w:ascii="Times New Roman" w:hAnsi="Times New Roman" w:cs="Times New Roman"/>
        </w:rPr>
      </w:pPr>
      <w:r>
        <w:rPr>
          <w:rFonts w:ascii="Times New Roman" w:hAnsi="Times New Roman" w:cs="Times New Roman"/>
        </w:rPr>
        <w:t>The successful translation of this study's findings into policy and practice is contingent upon the engagement of several distinct stakeholder groups.</w:t>
      </w:r>
    </w:p>
    <w:p w14:paraId="720B8322">
      <w:pPr>
        <w:spacing w:line="360" w:lineRule="auto"/>
        <w:rPr>
          <w:rFonts w:ascii="Times New Roman" w:hAnsi="Times New Roman" w:cs="Times New Roman"/>
        </w:rPr>
      </w:pPr>
      <w:r>
        <w:rPr>
          <w:rFonts w:ascii="Times New Roman" w:hAnsi="Times New Roman" w:cs="Times New Roman"/>
          <w:b/>
          <w:bCs/>
        </w:rPr>
        <w:t>Regulators and Policymakers</w:t>
      </w:r>
      <w:r>
        <w:rPr>
          <w:rFonts w:ascii="Times New Roman" w:hAnsi="Times New Roman" w:cs="Times New Roman"/>
        </w:rPr>
        <w:t xml:space="preserve"> represent the primary audience for the study's policy recommendations and include the Reserve Bank of Zimbabwe (RBZ), the Financial Intelligence Unit (FIU), and relevant government ministries with responsibility for finance, information and communications technology, and economic development.</w:t>
      </w:r>
    </w:p>
    <w:p w14:paraId="3EB2B27A">
      <w:pPr>
        <w:spacing w:line="360" w:lineRule="auto"/>
        <w:rPr>
          <w:rFonts w:ascii="Times New Roman" w:hAnsi="Times New Roman" w:cs="Times New Roman"/>
        </w:rPr>
      </w:pPr>
      <w:r>
        <w:rPr>
          <w:rFonts w:ascii="Times New Roman" w:hAnsi="Times New Roman" w:cs="Times New Roman"/>
          <w:b/>
          <w:bCs/>
        </w:rPr>
        <w:t>Financial Institutions</w:t>
      </w:r>
      <w:r>
        <w:rPr>
          <w:rFonts w:ascii="Times New Roman" w:hAnsi="Times New Roman" w:cs="Times New Roman"/>
        </w:rPr>
        <w:t>, including commercial banks, deposit-taking microfinance institutions (DTMFIs), and building societies, are both producers of the KYC compliance practices under analysis and potential implementers of any reformed framework that emerges from the research.</w:t>
      </w:r>
    </w:p>
    <w:p w14:paraId="6875C75D">
      <w:pPr>
        <w:spacing w:line="360" w:lineRule="auto"/>
        <w:rPr>
          <w:rFonts w:ascii="Times New Roman" w:hAnsi="Times New Roman" w:cs="Times New Roman"/>
        </w:rPr>
      </w:pPr>
      <w:r>
        <w:rPr>
          <w:rFonts w:ascii="Times New Roman" w:hAnsi="Times New Roman" w:cs="Times New Roman"/>
          <w:b/>
          <w:bCs/>
        </w:rPr>
        <w:t>Consumers and Citizens</w:t>
      </w:r>
      <w:r>
        <w:rPr>
          <w:rFonts w:ascii="Times New Roman" w:hAnsi="Times New Roman" w:cs="Times New Roman"/>
        </w:rPr>
        <w:t xml:space="preserve"> — particularly the unbanked and underbanked individuals whose exclusion the study seeks to understand and address — constitute the population of ultimate concern. This group includes rural communities, women, youth, informal sector workers, and other demographic groups disproportionately affected by KYC barriers, such as low-income households, undocumented individuals, and geographically remote communities.</w:t>
      </w:r>
    </w:p>
    <w:p w14:paraId="096E1AD9">
      <w:pPr>
        <w:spacing w:line="360" w:lineRule="auto"/>
        <w:rPr>
          <w:rFonts w:ascii="Times New Roman" w:hAnsi="Times New Roman" w:cs="Times New Roman"/>
          <w:b/>
          <w:bCs/>
        </w:rPr>
      </w:pPr>
      <w:r>
        <w:rPr>
          <w:rFonts w:ascii="Times New Roman" w:hAnsi="Times New Roman" w:cs="Times New Roman"/>
          <w:b/>
          <w:bCs/>
        </w:rPr>
        <w:t>1.8 Project Scope</w:t>
      </w:r>
    </w:p>
    <w:p w14:paraId="6008A510">
      <w:pPr>
        <w:spacing w:line="360" w:lineRule="auto"/>
        <w:rPr>
          <w:rFonts w:ascii="Times New Roman" w:hAnsi="Times New Roman" w:cs="Times New Roman"/>
        </w:rPr>
      </w:pPr>
      <w:r>
        <w:rPr>
          <w:rFonts w:ascii="Times New Roman" w:hAnsi="Times New Roman" w:cs="Times New Roman"/>
        </w:rPr>
        <w:t>This study focuses on Zimbabwe's formal financial sector and on adults aged 18 years and above, covering the period from 2018 to 2023. The analysis draws exclusively on secondary data sources, a methodological choice that reflects both ethical considerations and logistical constraints associated with primary data collection in this context. Several limitations are acknowledged at the outset. Institution-level KYC compliance data is not publicly disclosed, which constrains direct measurement of institutional behaviour. Survey datasets may underrepresent the most comprehensively excluded segments of the population — precisely those groups whose exclusion is most relevant to the study's questions. Additionally, the predominantly cross-sectional nature of available data limits the capacity for causal inference, a constraint examined more fully in Chapter 3.</w:t>
      </w:r>
    </w:p>
    <w:p w14:paraId="46B1336C">
      <w:pPr>
        <w:spacing w:line="360" w:lineRule="auto"/>
        <w:rPr>
          <w:rFonts w:ascii="Times New Roman" w:hAnsi="Times New Roman" w:cs="Times New Roman"/>
          <w:b/>
          <w:bCs/>
        </w:rPr>
      </w:pPr>
      <w:r>
        <w:rPr>
          <w:rFonts w:ascii="Times New Roman" w:hAnsi="Times New Roman" w:cs="Times New Roman"/>
          <w:b/>
          <w:bCs/>
        </w:rPr>
        <w:t>1.9 Project Assumptions</w:t>
      </w:r>
    </w:p>
    <w:p w14:paraId="170EA38F">
      <w:pPr>
        <w:spacing w:line="360" w:lineRule="auto"/>
        <w:rPr>
          <w:rFonts w:ascii="Times New Roman" w:hAnsi="Times New Roman" w:cs="Times New Roman"/>
        </w:rPr>
      </w:pPr>
      <w:r>
        <w:rPr>
          <w:rFonts w:ascii="Times New Roman" w:hAnsi="Times New Roman" w:cs="Times New Roman"/>
        </w:rPr>
        <w:t>The study proceeds on the basis of four principal assumptions.</w:t>
      </w:r>
    </w:p>
    <w:p w14:paraId="27A558F4">
      <w:pPr>
        <w:spacing w:line="360" w:lineRule="auto"/>
        <w:rPr>
          <w:rFonts w:ascii="Times New Roman" w:hAnsi="Times New Roman" w:cs="Times New Roman"/>
        </w:rPr>
      </w:pPr>
      <w:r>
        <w:rPr>
          <w:rFonts w:ascii="Times New Roman" w:hAnsi="Times New Roman" w:cs="Times New Roman"/>
          <w:b/>
          <w:bCs/>
        </w:rPr>
        <w:t>Data Quality:</w:t>
      </w:r>
      <w:r>
        <w:rPr>
          <w:rFonts w:ascii="Times New Roman" w:hAnsi="Times New Roman" w:cs="Times New Roman"/>
        </w:rPr>
        <w:t xml:space="preserve"> It is assumed that the datasets employed — including the FinScope Zimbabwe Survey, institutional records, and regulatory reports — are accurate, reliable, and collected using standardised methodologies. Any errors or inconsistencies in data entry or reporting are assumed to be minimal and unlikely to materially affect the validity of the analysis.</w:t>
      </w:r>
    </w:p>
    <w:p w14:paraId="0D523E5E">
      <w:pPr>
        <w:spacing w:line="360" w:lineRule="auto"/>
        <w:rPr>
          <w:rFonts w:ascii="Times New Roman" w:hAnsi="Times New Roman" w:cs="Times New Roman"/>
        </w:rPr>
      </w:pPr>
      <w:r>
        <w:rPr>
          <w:rFonts w:ascii="Times New Roman" w:hAnsi="Times New Roman" w:cs="Times New Roman"/>
          <w:b/>
          <w:bCs/>
        </w:rPr>
        <w:t>Data Availability:</w:t>
      </w:r>
      <w:r>
        <w:rPr>
          <w:rFonts w:ascii="Times New Roman" w:hAnsi="Times New Roman" w:cs="Times New Roman"/>
        </w:rPr>
        <w:t xml:space="preserve"> The study assumes that sufficient secondary data on KYC compliance, financial exclusion rates, and demographic variables will be accessible from surveys, financial institutions, and regulatory bodies, and that these datasets cover a reasonably representative sample of Zimbabwe's population and financial institutions.</w:t>
      </w:r>
    </w:p>
    <w:p w14:paraId="272F58B1">
      <w:pPr>
        <w:spacing w:line="360" w:lineRule="auto"/>
        <w:rPr>
          <w:rFonts w:ascii="Times New Roman" w:hAnsi="Times New Roman" w:cs="Times New Roman"/>
        </w:rPr>
      </w:pPr>
      <w:r>
        <w:rPr>
          <w:rFonts w:ascii="Times New Roman" w:hAnsi="Times New Roman" w:cs="Times New Roman"/>
          <w:b/>
          <w:bCs/>
        </w:rPr>
        <w:t>Data Compatibility:</w:t>
      </w:r>
      <w:r>
        <w:rPr>
          <w:rFonts w:ascii="Times New Roman" w:hAnsi="Times New Roman" w:cs="Times New Roman"/>
        </w:rPr>
        <w:t xml:space="preserve"> It is assumed that data drawn from different institutional sources — including banks, microfinance institutions, mobile money operators, and population surveys — can be harmonised into a unified analytical format. Variables are expected to be sufficiently comparable across sources to permit integration into a single modelling framework.</w:t>
      </w:r>
    </w:p>
    <w:p w14:paraId="5E6A4F26">
      <w:pPr>
        <w:spacing w:line="360" w:lineRule="auto"/>
        <w:rPr>
          <w:rFonts w:ascii="Times New Roman" w:hAnsi="Times New Roman" w:cs="Times New Roman"/>
        </w:rPr>
      </w:pPr>
      <w:r>
        <w:rPr>
          <w:rFonts w:ascii="Times New Roman" w:hAnsi="Times New Roman" w:cs="Times New Roman"/>
          <w:b/>
          <w:bCs/>
        </w:rPr>
        <w:t>Statistical Distribution:</w:t>
      </w:r>
      <w:r>
        <w:rPr>
          <w:rFonts w:ascii="Times New Roman" w:hAnsi="Times New Roman" w:cs="Times New Roman"/>
        </w:rPr>
        <w:t xml:space="preserve"> It is assumed that the relationships between KYC-related variables and financial exclusion outcomes are amenable to the statistical and machine learning techniques employed, and that the analytical models used are appropriate to the distributional properties of the data.</w:t>
      </w:r>
    </w:p>
    <w:p w14:paraId="2F6B3E45">
      <w:pPr>
        <w:spacing w:line="360" w:lineRule="auto"/>
        <w:rPr>
          <w:rFonts w:ascii="Times New Roman" w:hAnsi="Times New Roman" w:cs="Times New Roman"/>
          <w:b/>
          <w:bCs/>
        </w:rPr>
      </w:pPr>
      <w:r>
        <w:rPr>
          <w:rFonts w:ascii="Times New Roman" w:hAnsi="Times New Roman" w:cs="Times New Roman"/>
          <w:b/>
          <w:bCs/>
        </w:rPr>
        <w:t>1.10 Relevance and Significance</w:t>
      </w:r>
    </w:p>
    <w:p w14:paraId="4040B243">
      <w:pPr>
        <w:spacing w:line="360" w:lineRule="auto"/>
        <w:rPr>
          <w:rFonts w:ascii="Times New Roman" w:hAnsi="Times New Roman" w:cs="Times New Roman"/>
          <w:b/>
          <w:bCs/>
        </w:rPr>
      </w:pPr>
      <w:r>
        <w:rPr>
          <w:rFonts w:ascii="Times New Roman" w:hAnsi="Times New Roman" w:cs="Times New Roman"/>
          <w:b/>
          <w:bCs/>
        </w:rPr>
        <w:t>1.10.1 Relevance</w:t>
      </w:r>
    </w:p>
    <w:p w14:paraId="0D037BFA">
      <w:pPr>
        <w:spacing w:line="360" w:lineRule="auto"/>
        <w:rPr>
          <w:rFonts w:ascii="Times New Roman" w:hAnsi="Times New Roman" w:cs="Times New Roman"/>
        </w:rPr>
      </w:pPr>
      <w:r>
        <w:rPr>
          <w:rFonts w:ascii="Times New Roman" w:hAnsi="Times New Roman" w:cs="Times New Roman"/>
        </w:rPr>
        <w:t>This study is directly relevant to Zimbabwe's ongoing challenge of balancing financial regulatory integrity with the imperative of inclusive access. By modelling the relationship between KYC compliance gaps and financial exclusion outcomes, the research provides evidence-based insights that can assist regulators, policymakers, and financial institutions in designing frameworks that broaden access without compromising AML/CTF standards (Reserve Bank of Zimbabwe, 2022; FATF, 2020).</w:t>
      </w:r>
    </w:p>
    <w:p w14:paraId="59B7CBCF">
      <w:pPr>
        <w:spacing w:line="360" w:lineRule="auto"/>
        <w:rPr>
          <w:rFonts w:ascii="Times New Roman" w:hAnsi="Times New Roman" w:cs="Times New Roman"/>
          <w:b/>
          <w:bCs/>
        </w:rPr>
      </w:pPr>
      <w:r>
        <w:rPr>
          <w:rFonts w:ascii="Times New Roman" w:hAnsi="Times New Roman" w:cs="Times New Roman"/>
          <w:b/>
          <w:bCs/>
        </w:rPr>
        <w:t>1.10.2 Significance</w:t>
      </w:r>
    </w:p>
    <w:p w14:paraId="7B12A18E">
      <w:pPr>
        <w:spacing w:line="360" w:lineRule="auto"/>
        <w:rPr>
          <w:rFonts w:ascii="Times New Roman" w:hAnsi="Times New Roman" w:cs="Times New Roman"/>
        </w:rPr>
      </w:pPr>
      <w:r>
        <w:rPr>
          <w:rFonts w:ascii="Times New Roman" w:hAnsi="Times New Roman" w:cs="Times New Roman"/>
        </w:rPr>
        <w:t>The study makes contributions at three distinct levels. Academically, it advances the application of data science methods — specifically machine learning classification techniques — to regulatory and financial inclusion research within a developing country context, addressing a tangible gap in the quantitative literature on KYC and exclusion across Sub-Saharan Africa. Practically, the Financial Exclusion Risk Index (FERI) constructed in the course of the analysis represents a replicable, data-driven tool that regulators and financial institutions can adapt for ongoing monitoring of KYC-driven exclusion dynamics. In policy terms, the study's findings speak directly to the Reserve Bank of Zimbabwe, the Ministry of Finance and Economic Development, and the Financial Intelligence Unit as they implement ZNFIS II (2022–2026) and undertake a broader review of the AML/KYC regulatory architecture.</w:t>
      </w:r>
    </w:p>
    <w:p w14:paraId="14CCD13B">
      <w:pPr>
        <w:spacing w:line="360" w:lineRule="auto"/>
        <w:rPr>
          <w:rFonts w:ascii="Times New Roman" w:hAnsi="Times New Roman" w:cs="Times New Roman"/>
          <w:b/>
          <w:bCs/>
        </w:rPr>
      </w:pPr>
      <w:r>
        <w:rPr>
          <w:rFonts w:ascii="Times New Roman" w:hAnsi="Times New Roman" w:cs="Times New Roman"/>
          <w:b/>
          <w:bCs/>
        </w:rPr>
        <w:t>1.11 Chapter Summary</w:t>
      </w:r>
    </w:p>
    <w:p w14:paraId="108375AA">
      <w:pPr>
        <w:spacing w:line="360" w:lineRule="auto"/>
        <w:rPr>
          <w:rFonts w:ascii="Times New Roman" w:hAnsi="Times New Roman" w:cs="Times New Roman"/>
        </w:rPr>
      </w:pPr>
      <w:r>
        <w:rPr>
          <w:rFonts w:ascii="Times New Roman" w:hAnsi="Times New Roman" w:cs="Times New Roman"/>
        </w:rPr>
        <w:t>Chapter One has introduced the study by situating the problem of financial exclusion in Zimbabwe within both its global context and its specific national regulatory environment. It has established that while Zimbabwe possesses a comparatively developed formal financial sector, a substantial proportion of the adult population remains outside that system — and that KYC compliance requirements constitute a significant, yet underanalysed, structural driver of that exclusion. The chapter has defined the study's aim as the analysis of KYC compliance gaps and their impact on exclusion outcomes, supported by clearly articulated research objectives encompassing predictive modelling, the construction of a Financial Exclusion Risk Index, and the development of evidence-based policy recommendations. The motivation for the study has been grounded in the tension between regulatory integrity and inclusive access, and the key stakeholder groups — regulators, financial institutions, and affected citizens — have been identified. The scope has been bounded to Zimbabwe's formal financial sector and the period 2018–2023, with transparency regarding the limitations imposed by data availability and research design. Assumptions concerning data quality, availability, compatibility, and statistical appropriateness have been articulated to frame the methodological approach adopted in subsequent chapters. The chapter has concluded by affirming the academic, practical, and policy significance of the study within Zimbabwe's development context and the broader Sub-Saharan African literature.</w:t>
      </w:r>
    </w:p>
    <w:p w14:paraId="1E45BB33">
      <w:pPr>
        <w:spacing w:line="360" w:lineRule="auto"/>
        <w:rPr>
          <w:rFonts w:ascii="Times New Roman" w:hAnsi="Times New Roman" w:cs="Times New Roman"/>
        </w:rPr>
      </w:pPr>
    </w:p>
    <w:p w14:paraId="742B4F18">
      <w:pPr>
        <w:spacing w:line="360" w:lineRule="auto"/>
        <w:rPr>
          <w:rFonts w:ascii="Times New Roman" w:hAnsi="Times New Roman" w:cs="Times New Roman"/>
        </w:rPr>
      </w:pPr>
      <w:r>
        <w:rPr>
          <w:rFonts w:ascii="Times New Roman" w:hAnsi="Times New Roman" w:cs="Times New Roman"/>
          <w:b/>
          <w:bCs/>
        </w:rPr>
        <w:t>References (Chapter 1)</w:t>
      </w:r>
    </w:p>
    <w:p w14:paraId="3C863512">
      <w:pPr>
        <w:spacing w:line="360" w:lineRule="auto"/>
        <w:rPr>
          <w:rFonts w:ascii="Times New Roman" w:hAnsi="Times New Roman" w:cs="Times New Roman"/>
        </w:rPr>
      </w:pPr>
      <w:r>
        <w:rPr>
          <w:rFonts w:ascii="Times New Roman" w:hAnsi="Times New Roman" w:cs="Times New Roman"/>
        </w:rPr>
        <w:t xml:space="preserve">Financial Action Task Force (FATF) (2020) </w:t>
      </w:r>
      <w:r>
        <w:rPr>
          <w:rFonts w:ascii="Times New Roman" w:hAnsi="Times New Roman" w:cs="Times New Roman"/>
          <w:i/>
          <w:iCs/>
        </w:rPr>
        <w:t>Anti-money laundering and counter-terrorist financing measures — guidance on digital identity</w:t>
      </w:r>
      <w:r>
        <w:rPr>
          <w:rFonts w:ascii="Times New Roman" w:hAnsi="Times New Roman" w:cs="Times New Roman"/>
        </w:rPr>
        <w:t>. Paris: FATF.</w:t>
      </w:r>
    </w:p>
    <w:p w14:paraId="03AEB601">
      <w:pPr>
        <w:spacing w:line="360" w:lineRule="auto"/>
        <w:rPr>
          <w:rFonts w:ascii="Times New Roman" w:hAnsi="Times New Roman" w:cs="Times New Roman"/>
        </w:rPr>
      </w:pPr>
      <w:r>
        <w:rPr>
          <w:rFonts w:ascii="Times New Roman" w:hAnsi="Times New Roman" w:cs="Times New Roman"/>
        </w:rPr>
        <w:t xml:space="preserve">FinScope Zimbabwe Survey (2022) </w:t>
      </w:r>
      <w:r>
        <w:rPr>
          <w:rFonts w:ascii="Times New Roman" w:hAnsi="Times New Roman" w:cs="Times New Roman"/>
          <w:i/>
          <w:iCs/>
        </w:rPr>
        <w:t>FinScope consumer survey Zimbabwe 2022</w:t>
      </w:r>
      <w:r>
        <w:rPr>
          <w:rFonts w:ascii="Times New Roman" w:hAnsi="Times New Roman" w:cs="Times New Roman"/>
        </w:rPr>
        <w:t>. Harare: FinMark Trust.</w:t>
      </w:r>
    </w:p>
    <w:p w14:paraId="6088FC42">
      <w:pPr>
        <w:spacing w:line="360" w:lineRule="auto"/>
        <w:rPr>
          <w:rFonts w:ascii="Times New Roman" w:hAnsi="Times New Roman" w:cs="Times New Roman"/>
        </w:rPr>
      </w:pPr>
      <w:r>
        <w:rPr>
          <w:rFonts w:ascii="Times New Roman" w:hAnsi="Times New Roman" w:cs="Times New Roman"/>
        </w:rPr>
        <w:t xml:space="preserve">Government of Zimbabwe (2018) </w:t>
      </w:r>
      <w:r>
        <w:rPr>
          <w:rFonts w:ascii="Times New Roman" w:hAnsi="Times New Roman" w:cs="Times New Roman"/>
          <w:i/>
          <w:iCs/>
        </w:rPr>
        <w:t>Vision 2030: Towards a prosperous and empowered upper middle-income society</w:t>
      </w:r>
      <w:r>
        <w:rPr>
          <w:rFonts w:ascii="Times New Roman" w:hAnsi="Times New Roman" w:cs="Times New Roman"/>
        </w:rPr>
        <w:t>. Harare: Government of Zimbabwe.</w:t>
      </w:r>
    </w:p>
    <w:p w14:paraId="02425D27">
      <w:pPr>
        <w:spacing w:line="360" w:lineRule="auto"/>
        <w:rPr>
          <w:rFonts w:ascii="Times New Roman" w:hAnsi="Times New Roman" w:cs="Times New Roman"/>
        </w:rPr>
      </w:pPr>
      <w:r>
        <w:rPr>
          <w:rFonts w:ascii="Times New Roman" w:hAnsi="Times New Roman" w:cs="Times New Roman"/>
        </w:rPr>
        <w:t xml:space="preserve">Ministry of Finance and Economic Development (2021) </w:t>
      </w:r>
      <w:r>
        <w:rPr>
          <w:rFonts w:ascii="Times New Roman" w:hAnsi="Times New Roman" w:cs="Times New Roman"/>
          <w:i/>
          <w:iCs/>
        </w:rPr>
        <w:t>National Development Strategy 1 (NDS1), 2021–2025</w:t>
      </w:r>
      <w:r>
        <w:rPr>
          <w:rFonts w:ascii="Times New Roman" w:hAnsi="Times New Roman" w:cs="Times New Roman"/>
        </w:rPr>
        <w:t>. Harare: Government of Zimbabwe.</w:t>
      </w:r>
    </w:p>
    <w:p w14:paraId="46FC473B">
      <w:pPr>
        <w:spacing w:line="360" w:lineRule="auto"/>
        <w:rPr>
          <w:rFonts w:ascii="Times New Roman" w:hAnsi="Times New Roman" w:cs="Times New Roman"/>
        </w:rPr>
      </w:pPr>
      <w:r>
        <w:rPr>
          <w:rFonts w:ascii="Times New Roman" w:hAnsi="Times New Roman" w:cs="Times New Roman"/>
        </w:rPr>
        <w:t xml:space="preserve">Reserve Bank of Zimbabwe (2021) </w:t>
      </w:r>
      <w:r>
        <w:rPr>
          <w:rFonts w:ascii="Times New Roman" w:hAnsi="Times New Roman" w:cs="Times New Roman"/>
          <w:i/>
          <w:iCs/>
        </w:rPr>
        <w:t>Anti-money laundering and counter-terrorism financing guidelines for financial institutions</w:t>
      </w:r>
      <w:r>
        <w:rPr>
          <w:rFonts w:ascii="Times New Roman" w:hAnsi="Times New Roman" w:cs="Times New Roman"/>
        </w:rPr>
        <w:t>. Harare: Reserve Bank of Zimbabwe.</w:t>
      </w:r>
    </w:p>
    <w:p w14:paraId="574586C4">
      <w:pPr>
        <w:spacing w:line="360" w:lineRule="auto"/>
        <w:rPr>
          <w:rFonts w:ascii="Times New Roman" w:hAnsi="Times New Roman" w:cs="Times New Roman"/>
        </w:rPr>
      </w:pPr>
      <w:r>
        <w:rPr>
          <w:rFonts w:ascii="Times New Roman" w:hAnsi="Times New Roman" w:cs="Times New Roman"/>
        </w:rPr>
        <w:t xml:space="preserve">Reserve Bank of Zimbabwe (2022) </w:t>
      </w:r>
      <w:r>
        <w:rPr>
          <w:rFonts w:ascii="Times New Roman" w:hAnsi="Times New Roman" w:cs="Times New Roman"/>
          <w:i/>
          <w:iCs/>
        </w:rPr>
        <w:t>Zimbabwe National Financial Inclusion Strategy II (ZNFIS II), 2022–2026</w:t>
      </w:r>
      <w:r>
        <w:rPr>
          <w:rFonts w:ascii="Times New Roman" w:hAnsi="Times New Roman" w:cs="Times New Roman"/>
        </w:rPr>
        <w:t>. Harare: Reserve Bank of Zimbabwe.</w:t>
      </w:r>
    </w:p>
    <w:p w14:paraId="214FE000">
      <w:pPr>
        <w:spacing w:line="360" w:lineRule="auto"/>
        <w:rPr>
          <w:rFonts w:ascii="Times New Roman" w:hAnsi="Times New Roman" w:cs="Times New Roman"/>
        </w:rPr>
      </w:pPr>
      <w:r>
        <w:rPr>
          <w:rFonts w:ascii="Times New Roman" w:hAnsi="Times New Roman" w:cs="Times New Roman"/>
        </w:rPr>
        <w:t xml:space="preserve">World Bank (2022) </w:t>
      </w:r>
      <w:r>
        <w:rPr>
          <w:rFonts w:ascii="Times New Roman" w:hAnsi="Times New Roman" w:cs="Times New Roman"/>
          <w:i/>
          <w:iCs/>
        </w:rPr>
        <w:t>The global findex database 2021: Financial inclusion, digital payments, and resilience in the age of COVID-19</w:t>
      </w:r>
      <w:r>
        <w:rPr>
          <w:rFonts w:ascii="Times New Roman" w:hAnsi="Times New Roman" w:cs="Times New Roman"/>
        </w:rPr>
        <w:t>. Washington, DC: World Bank.</w:t>
      </w:r>
    </w:p>
    <w:p w14:paraId="1B677D85">
      <w:pPr>
        <w:spacing w:line="360" w:lineRule="auto"/>
        <w:rPr>
          <w:rFonts w:ascii="Times New Roman" w:hAnsi="Times New Roman" w:cs="Times New Roman"/>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 w:name="Trebuchet MS">
    <w:panose1 w:val="020B0603020202020204"/>
    <w:charset w:val="00"/>
    <w:family w:val="swiss"/>
    <w:pitch w:val="default"/>
    <w:sig w:usb0="00000687" w:usb1="00000000" w:usb2="00000000" w:usb3="00000000" w:csb0="2000009F" w:csb1="00000000"/>
  </w:font>
  <w:font w:name="+mj-ea">
    <w:altName w:val="Segoe Print"/>
    <w:panose1 w:val="00000000000000000000"/>
    <w:charset w:val="00"/>
    <w:family w:val="roman"/>
    <w:pitch w:val="default"/>
    <w:sig w:usb0="00000000" w:usb1="00000000" w:usb2="00000000" w:usb3="00000000" w:csb0="00000000" w:csb1="00000000"/>
  </w:font>
  <w:font w:name="+mj-cs">
    <w:altName w:val="Segoe Print"/>
    <w:panose1 w:val="00000000000000000000"/>
    <w:charset w:val="00"/>
    <w:family w:val="roman"/>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C15421E"/>
    <w:multiLevelType w:val="multilevel"/>
    <w:tmpl w:val="3C15421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1F40"/>
    <w:rsid w:val="004D31E9"/>
    <w:rsid w:val="008E5E5B"/>
    <w:rsid w:val="00981F40"/>
    <w:rsid w:val="00C447D5"/>
    <w:rsid w:val="00DD4728"/>
    <w:rsid w:val="5AA515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16">
    <w:name w:val="Heading 2 Char"/>
    <w:basedOn w:val="11"/>
    <w:link w:val="3"/>
    <w:semiHidden/>
    <w:uiPriority w:val="9"/>
    <w:rPr>
      <w:rFonts w:asciiTheme="majorHAnsi" w:hAnsiTheme="majorHAnsi" w:eastAsiaTheme="majorEastAsia" w:cstheme="majorBidi"/>
      <w:color w:val="104862" w:themeColor="accent1" w:themeShade="BF"/>
      <w:sz w:val="32"/>
      <w:szCs w:val="32"/>
    </w:rPr>
  </w:style>
  <w:style w:type="character" w:customStyle="1" w:styleId="17">
    <w:name w:val="Heading 3 Char"/>
    <w:basedOn w:val="11"/>
    <w:link w:val="4"/>
    <w:semiHidden/>
    <w:uiPriority w:val="9"/>
    <w:rPr>
      <w:rFonts w:eastAsiaTheme="majorEastAsia" w:cstheme="majorBidi"/>
      <w:color w:val="104862" w:themeColor="accent1" w:themeShade="BF"/>
      <w:sz w:val="28"/>
      <w:szCs w:val="28"/>
    </w:rPr>
  </w:style>
  <w:style w:type="character" w:customStyle="1" w:styleId="18">
    <w:name w:val="Heading 4 Char"/>
    <w:basedOn w:val="11"/>
    <w:link w:val="5"/>
    <w:semiHidden/>
    <w:uiPriority w:val="9"/>
    <w:rPr>
      <w:rFonts w:eastAsiaTheme="majorEastAsia" w:cstheme="majorBidi"/>
      <w:i/>
      <w:iCs/>
      <w:color w:val="104862" w:themeColor="accent1" w:themeShade="BF"/>
    </w:rPr>
  </w:style>
  <w:style w:type="character" w:customStyle="1" w:styleId="19">
    <w:name w:val="Heading 5 Char"/>
    <w:basedOn w:val="11"/>
    <w:link w:val="6"/>
    <w:semiHidden/>
    <w:uiPriority w:val="9"/>
    <w:rPr>
      <w:rFonts w:eastAsiaTheme="majorEastAsia" w:cstheme="majorBidi"/>
      <w:color w:val="104862" w:themeColor="accent1" w:themeShade="BF"/>
    </w:rPr>
  </w:style>
  <w:style w:type="character" w:customStyle="1" w:styleId="20">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104862" w:themeColor="accent1" w:themeShade="BF"/>
    </w:rPr>
  </w:style>
  <w:style w:type="paragraph" w:styleId="30">
    <w:name w:val="Intense Quote"/>
    <w:basedOn w:val="1"/>
    <w:next w:val="1"/>
    <w:link w:val="31"/>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1">
    <w:name w:val="Intense Quote Char"/>
    <w:basedOn w:val="11"/>
    <w:link w:val="30"/>
    <w:uiPriority w:val="30"/>
    <w:rPr>
      <w:i/>
      <w:iCs/>
      <w:color w:val="104862" w:themeColor="accent1" w:themeShade="BF"/>
    </w:rPr>
  </w:style>
  <w:style w:type="character" w:customStyle="1" w:styleId="32">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10</Pages>
  <Words>2600</Words>
  <Characters>14822</Characters>
  <Lines>123</Lines>
  <Paragraphs>34</Paragraphs>
  <TotalTime>0</TotalTime>
  <ScaleCrop>false</ScaleCrop>
  <LinksUpToDate>false</LinksUpToDate>
  <CharactersWithSpaces>17388</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2026-03-31T12:35:00Z</dcterms:created>
  <dc:creator>Knowledge Keche</dc:creator>
  <cp:lastModifiedBy>Admin</cp:lastModifiedBy>
  <dcterms:modified xsi:type="dcterms:W3CDTF">2026-03-31T13:08:57Z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727F7D4B210A4C5D956A8895AD85210B_13</vt:lpwstr>
  </property>
</Properties>
</file>