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20BD" w:rsidRPr="00AE168A" w:rsidRDefault="006520BD" w:rsidP="00AE168A">
      <w:pPr>
        <w:jc w:val="center"/>
        <w:rPr>
          <w:rFonts w:ascii="Times New Roman" w:hAnsi="Times New Roman" w:cs="Times New Roman"/>
          <w:bCs/>
          <w:color w:val="000000" w:themeColor="text1"/>
        </w:rPr>
      </w:pPr>
      <w:r w:rsidRPr="00AE168A">
        <w:rPr>
          <w:rFonts w:ascii="Times New Roman" w:hAnsi="Times New Roman" w:cs="Times New Roman"/>
          <w:bCs/>
          <w:color w:val="000000" w:themeColor="text1"/>
        </w:rPr>
        <w:t>KNOW YOUR CLIENT</w:t>
      </w:r>
    </w:p>
    <w:p w:rsidR="006520BD" w:rsidRPr="00AE168A" w:rsidRDefault="006520BD" w:rsidP="00AE168A">
      <w:pPr>
        <w:jc w:val="both"/>
        <w:rPr>
          <w:rFonts w:ascii="Times New Roman" w:hAnsi="Times New Roman" w:cs="Times New Roman"/>
          <w:bCs/>
          <w:color w:val="000000" w:themeColor="text1"/>
        </w:rPr>
      </w:pPr>
    </w:p>
    <w:p w:rsidR="006520BD" w:rsidRPr="00AE168A" w:rsidRDefault="006520BD" w:rsidP="00AE168A">
      <w:pPr>
        <w:jc w:val="both"/>
        <w:rPr>
          <w:rFonts w:ascii="Times New Roman" w:hAnsi="Times New Roman" w:cs="Times New Roman"/>
          <w:bCs/>
          <w:color w:val="000000" w:themeColor="text1"/>
        </w:rPr>
      </w:pPr>
    </w:p>
    <w:p w:rsidR="006520BD" w:rsidRPr="00AE168A" w:rsidRDefault="006520BD" w:rsidP="00AE168A">
      <w:pPr>
        <w:jc w:val="center"/>
        <w:rPr>
          <w:rFonts w:ascii="Times New Roman" w:eastAsia="+mj-ea" w:hAnsi="Times New Roman" w:cs="Times New Roman"/>
          <w:color w:val="000000" w:themeColor="text1"/>
          <w:kern w:val="24"/>
          <w:lang w:eastAsia="en-ZA"/>
        </w:rPr>
      </w:pPr>
      <w:r w:rsidRPr="00AE168A">
        <w:rPr>
          <w:rFonts w:ascii="Times New Roman" w:eastAsia="+mj-ea" w:hAnsi="Times New Roman" w:cs="Times New Roman"/>
          <w:noProof/>
          <w:color w:val="000000" w:themeColor="text1"/>
          <w:kern w:val="24"/>
          <w:lang w:val="en-ZW" w:eastAsia="en-ZW"/>
        </w:rPr>
        <w:drawing>
          <wp:inline distT="0" distB="0" distL="0" distR="0" wp14:anchorId="0C6713D0" wp14:editId="696FC86F">
            <wp:extent cx="2114550" cy="2162175"/>
            <wp:effectExtent l="0" t="0" r="3810" b="1905"/>
            <wp:docPr id="1172743611" name="Picture 1172743611" descr="C:\Users\E6420\Download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43611" name="Picture 1172743611" descr="C:\Users\E6420\Downloads\downloa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114550" cy="2162175"/>
                    </a:xfrm>
                    <a:prstGeom prst="rect">
                      <a:avLst/>
                    </a:prstGeom>
                    <a:noFill/>
                    <a:ln>
                      <a:noFill/>
                    </a:ln>
                  </pic:spPr>
                </pic:pic>
              </a:graphicData>
            </a:graphic>
          </wp:inline>
        </w:drawing>
      </w:r>
    </w:p>
    <w:p w:rsidR="006520BD" w:rsidRPr="00AE168A" w:rsidRDefault="006520BD" w:rsidP="00AE168A">
      <w:pPr>
        <w:jc w:val="center"/>
        <w:rPr>
          <w:rFonts w:ascii="Times New Roman" w:eastAsia="+mj-ea" w:hAnsi="Times New Roman" w:cs="Times New Roman"/>
          <w:color w:val="000000" w:themeColor="text1"/>
          <w:kern w:val="24"/>
          <w:lang w:eastAsia="en-ZA"/>
        </w:rPr>
      </w:pPr>
    </w:p>
    <w:p w:rsidR="006520BD" w:rsidRPr="00AE168A" w:rsidRDefault="006520BD" w:rsidP="00AE168A">
      <w:pPr>
        <w:jc w:val="center"/>
        <w:rPr>
          <w:rFonts w:ascii="Times New Roman" w:hAnsi="Times New Roman" w:cs="Times New Roman"/>
          <w:bCs/>
          <w:color w:val="000000" w:themeColor="text1"/>
        </w:rPr>
      </w:pPr>
      <w:r w:rsidRPr="00AE168A">
        <w:rPr>
          <w:rFonts w:ascii="Times New Roman" w:hAnsi="Times New Roman" w:cs="Times New Roman"/>
          <w:bCs/>
          <w:color w:val="000000" w:themeColor="text1"/>
        </w:rPr>
        <w:t>By</w:t>
      </w:r>
    </w:p>
    <w:p w:rsidR="006520BD" w:rsidRPr="00AE168A" w:rsidRDefault="006520BD" w:rsidP="00AE168A">
      <w:pPr>
        <w:jc w:val="center"/>
        <w:rPr>
          <w:rFonts w:ascii="Times New Roman" w:hAnsi="Times New Roman" w:cs="Times New Roman"/>
          <w:bCs/>
          <w:color w:val="000000" w:themeColor="text1"/>
        </w:rPr>
      </w:pPr>
    </w:p>
    <w:p w:rsidR="006520BD" w:rsidRPr="00AE168A" w:rsidRDefault="006520BD" w:rsidP="00AE168A">
      <w:pPr>
        <w:jc w:val="center"/>
        <w:rPr>
          <w:rFonts w:ascii="Times New Roman" w:hAnsi="Times New Roman" w:cs="Times New Roman"/>
          <w:bCs/>
          <w:color w:val="000000" w:themeColor="text1"/>
        </w:rPr>
      </w:pPr>
    </w:p>
    <w:p w:rsidR="006520BD" w:rsidRPr="00AE168A" w:rsidRDefault="006520BD" w:rsidP="00AE168A">
      <w:pPr>
        <w:jc w:val="center"/>
        <w:rPr>
          <w:rFonts w:ascii="Times New Roman" w:hAnsi="Times New Roman" w:cs="Times New Roman"/>
          <w:bCs/>
          <w:color w:val="000000" w:themeColor="text1"/>
        </w:rPr>
      </w:pPr>
      <w:r w:rsidRPr="00AE168A">
        <w:rPr>
          <w:rFonts w:ascii="Times New Roman" w:hAnsi="Times New Roman" w:cs="Times New Roman"/>
          <w:bCs/>
          <w:color w:val="000000" w:themeColor="text1"/>
        </w:rPr>
        <w:t xml:space="preserve">Knowledge </w:t>
      </w:r>
      <w:proofErr w:type="spellStart"/>
      <w:r w:rsidRPr="00AE168A">
        <w:rPr>
          <w:rFonts w:ascii="Times New Roman" w:hAnsi="Times New Roman" w:cs="Times New Roman"/>
          <w:bCs/>
          <w:color w:val="000000" w:themeColor="text1"/>
        </w:rPr>
        <w:t>Keche</w:t>
      </w:r>
      <w:proofErr w:type="spellEnd"/>
      <w:r w:rsidRPr="00AE168A">
        <w:rPr>
          <w:rFonts w:ascii="Times New Roman" w:hAnsi="Times New Roman" w:cs="Times New Roman"/>
          <w:bCs/>
          <w:color w:val="000000" w:themeColor="text1"/>
        </w:rPr>
        <w:tab/>
        <w:t xml:space="preserve">   R162841Q</w:t>
      </w:r>
    </w:p>
    <w:p w:rsidR="006520BD" w:rsidRPr="00AE168A" w:rsidRDefault="006520BD" w:rsidP="00AE168A">
      <w:pPr>
        <w:jc w:val="center"/>
        <w:rPr>
          <w:rFonts w:ascii="Times New Roman" w:hAnsi="Times New Roman" w:cs="Times New Roman"/>
          <w:bCs/>
          <w:color w:val="000000" w:themeColor="text1"/>
        </w:rPr>
      </w:pPr>
      <w:r w:rsidRPr="00AE168A">
        <w:rPr>
          <w:rFonts w:ascii="Times New Roman" w:hAnsi="Times New Roman" w:cs="Times New Roman"/>
          <w:bCs/>
          <w:color w:val="000000" w:themeColor="text1"/>
        </w:rPr>
        <w:t>Lennie G. Dube</w:t>
      </w:r>
      <w:r w:rsidRPr="00AE168A">
        <w:rPr>
          <w:rFonts w:ascii="Times New Roman" w:hAnsi="Times New Roman" w:cs="Times New Roman"/>
          <w:bCs/>
          <w:color w:val="000000" w:themeColor="text1"/>
        </w:rPr>
        <w:tab/>
        <w:t>R247540M</w:t>
      </w:r>
    </w:p>
    <w:p w:rsidR="006520BD" w:rsidRPr="00AE168A" w:rsidRDefault="006520BD" w:rsidP="00AE168A">
      <w:pPr>
        <w:jc w:val="center"/>
        <w:rPr>
          <w:rFonts w:ascii="Times New Roman" w:hAnsi="Times New Roman" w:cs="Times New Roman"/>
          <w:bCs/>
          <w:color w:val="000000" w:themeColor="text1"/>
        </w:rPr>
      </w:pPr>
      <w:r w:rsidRPr="00AE168A">
        <w:rPr>
          <w:rFonts w:ascii="Times New Roman" w:hAnsi="Times New Roman" w:cs="Times New Roman"/>
          <w:bCs/>
          <w:color w:val="000000" w:themeColor="text1"/>
        </w:rPr>
        <w:t>Jonah T. Chigaba      R2410297J</w:t>
      </w:r>
    </w:p>
    <w:p w:rsidR="006520BD" w:rsidRPr="00AE168A" w:rsidRDefault="006520BD" w:rsidP="00AE168A">
      <w:pPr>
        <w:jc w:val="center"/>
        <w:rPr>
          <w:rFonts w:ascii="Times New Roman" w:hAnsi="Times New Roman" w:cs="Times New Roman"/>
          <w:bCs/>
          <w:color w:val="000000" w:themeColor="text1"/>
        </w:rPr>
      </w:pPr>
    </w:p>
    <w:p w:rsidR="006520BD" w:rsidRPr="00AE168A" w:rsidRDefault="006520BD" w:rsidP="00AE168A">
      <w:pPr>
        <w:jc w:val="center"/>
        <w:rPr>
          <w:rFonts w:ascii="Times New Roman" w:hAnsi="Times New Roman" w:cs="Times New Roman"/>
          <w:bCs/>
          <w:color w:val="000000" w:themeColor="text1"/>
        </w:rPr>
      </w:pPr>
    </w:p>
    <w:p w:rsidR="006520BD" w:rsidRPr="00AE168A" w:rsidRDefault="006520BD" w:rsidP="00AE168A">
      <w:pPr>
        <w:jc w:val="center"/>
        <w:rPr>
          <w:rFonts w:ascii="Times New Roman" w:hAnsi="Times New Roman" w:cs="Times New Roman"/>
          <w:bCs/>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Project</w:t>
      </w:r>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Submitted in partial fulfillment of the requirements of the degree of</w:t>
      </w:r>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Bachelor of Commerce Honours Degree in Data Science and Informatics</w:t>
      </w:r>
    </w:p>
    <w:p w:rsidR="00D94CB0" w:rsidRPr="00AE168A" w:rsidRDefault="00D94CB0"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Department of Information and Marketing Sciences</w:t>
      </w:r>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in the</w:t>
      </w:r>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Faculty of Business Sciences</w:t>
      </w:r>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at the</w:t>
      </w:r>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Midlands State University</w:t>
      </w:r>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Gweru/Harare</w:t>
      </w:r>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March 2026</w:t>
      </w:r>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color w:val="000000" w:themeColor="text1"/>
        </w:rPr>
      </w:pPr>
      <w:r w:rsidRPr="00AE168A">
        <w:rPr>
          <w:rFonts w:ascii="Times New Roman" w:hAnsi="Times New Roman" w:cs="Times New Roman"/>
          <w:color w:val="000000" w:themeColor="text1"/>
        </w:rPr>
        <w:t xml:space="preserve">Bridget </w:t>
      </w:r>
      <w:proofErr w:type="spellStart"/>
      <w:r w:rsidRPr="00AE168A">
        <w:rPr>
          <w:rFonts w:ascii="Times New Roman" w:hAnsi="Times New Roman" w:cs="Times New Roman"/>
          <w:color w:val="000000" w:themeColor="text1"/>
        </w:rPr>
        <w:t>Munyoro</w:t>
      </w:r>
      <w:proofErr w:type="spellEnd"/>
    </w:p>
    <w:p w:rsidR="006520BD" w:rsidRPr="00AE168A" w:rsidRDefault="006520BD" w:rsidP="00AE168A">
      <w:pPr>
        <w:jc w:val="center"/>
        <w:rPr>
          <w:rFonts w:ascii="Times New Roman" w:hAnsi="Times New Roman" w:cs="Times New Roman"/>
          <w:color w:val="000000" w:themeColor="text1"/>
        </w:rPr>
      </w:pPr>
    </w:p>
    <w:p w:rsidR="006520BD" w:rsidRPr="00AE168A" w:rsidRDefault="006520BD" w:rsidP="00AE168A">
      <w:pPr>
        <w:jc w:val="center"/>
        <w:rPr>
          <w:rFonts w:ascii="Times New Roman" w:hAnsi="Times New Roman" w:cs="Times New Roman"/>
          <w:bCs/>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Default="006520BD" w:rsidP="00AE168A">
      <w:pPr>
        <w:jc w:val="both"/>
        <w:rPr>
          <w:rFonts w:ascii="Times New Roman" w:hAnsi="Times New Roman" w:cs="Times New Roman"/>
          <w:color w:val="000000" w:themeColor="text1"/>
        </w:rPr>
      </w:pPr>
    </w:p>
    <w:p w:rsidR="00AE168A" w:rsidRDefault="00AE168A" w:rsidP="00AE168A">
      <w:pPr>
        <w:jc w:val="both"/>
        <w:rPr>
          <w:rFonts w:ascii="Times New Roman" w:hAnsi="Times New Roman" w:cs="Times New Roman"/>
          <w:color w:val="000000" w:themeColor="text1"/>
        </w:rPr>
      </w:pPr>
    </w:p>
    <w:p w:rsidR="00AE168A" w:rsidRPr="00AE168A" w:rsidRDefault="00AE168A" w:rsidP="00AE168A">
      <w:pPr>
        <w:jc w:val="both"/>
        <w:rPr>
          <w:rFonts w:ascii="Times New Roman" w:hAnsi="Times New Roman" w:cs="Times New Roman"/>
          <w:color w:val="000000" w:themeColor="text1"/>
        </w:rPr>
      </w:pPr>
    </w:p>
    <w:p w:rsidR="006520BD" w:rsidRPr="00AE168A" w:rsidRDefault="006520BD" w:rsidP="00AE168A">
      <w:pPr>
        <w:pStyle w:val="Heading1"/>
        <w:spacing w:before="400" w:after="160" w:line="360" w:lineRule="auto"/>
        <w:jc w:val="both"/>
        <w:rPr>
          <w:rFonts w:ascii="Times New Roman" w:hAnsi="Times New Roman" w:cs="Times New Roman"/>
          <w:color w:val="000000" w:themeColor="text1"/>
          <w:sz w:val="24"/>
          <w:szCs w:val="24"/>
        </w:rPr>
      </w:pPr>
      <w:r w:rsidRPr="00AE168A">
        <w:rPr>
          <w:rFonts w:ascii="Times New Roman" w:hAnsi="Times New Roman" w:cs="Times New Roman"/>
          <w:color w:val="000000" w:themeColor="text1"/>
          <w:sz w:val="24"/>
          <w:szCs w:val="24"/>
        </w:rPr>
        <w:t>Chapter 2: Literature Review</w:t>
      </w:r>
    </w:p>
    <w:p w:rsidR="006520BD" w:rsidRPr="00AE168A" w:rsidRDefault="006520BD" w:rsidP="00AE168A">
      <w:pPr>
        <w:pStyle w:val="Heading2"/>
        <w:spacing w:before="28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t>2.1 Introduction</w:t>
      </w:r>
    </w:p>
    <w:p w:rsidR="00FD28AB" w:rsidRPr="00AE168A" w:rsidRDefault="00FD28AB" w:rsidP="00AE168A">
      <w:pPr>
        <w:pStyle w:val="Heading2"/>
        <w:spacing w:before="280" w:line="360" w:lineRule="auto"/>
        <w:jc w:val="both"/>
        <w:rPr>
          <w:rFonts w:ascii="Times New Roman" w:eastAsiaTheme="minorHAnsi" w:hAnsi="Times New Roman" w:cs="Times New Roman"/>
          <w:b w:val="0"/>
          <w:bCs w:val="0"/>
          <w:color w:val="000000" w:themeColor="text1"/>
          <w:kern w:val="2"/>
          <w14:ligatures w14:val="standardContextual"/>
        </w:rPr>
      </w:pPr>
      <w:r w:rsidRPr="00AE168A">
        <w:rPr>
          <w:rFonts w:ascii="Times New Roman" w:eastAsiaTheme="minorHAnsi" w:hAnsi="Times New Roman" w:cs="Times New Roman"/>
          <w:b w:val="0"/>
          <w:bCs w:val="0"/>
          <w:color w:val="000000" w:themeColor="text1"/>
          <w:kern w:val="2"/>
          <w14:ligatures w14:val="standardContextual"/>
        </w:rPr>
        <w:t>This chapter brings together the conceptual foundations, concepts, and empirical material that support the analytical design. It covers four areas which are all connected: the international KYC regulatory framework and how it has evolved over a long period; the theoretical and empirical study of monetary exclusion; analysing the specific dynamics of KYC and financial exclusion in sub</w:t>
      </w:r>
      <w:r w:rsidR="004D5BE7" w:rsidRPr="00AE168A">
        <w:rPr>
          <w:rFonts w:ascii="Times New Roman" w:eastAsiaTheme="minorHAnsi" w:hAnsi="Times New Roman" w:cs="Times New Roman"/>
          <w:b w:val="0"/>
          <w:bCs w:val="0"/>
          <w:color w:val="000000" w:themeColor="text1"/>
          <w:kern w:val="2"/>
          <w14:ligatures w14:val="standardContextual"/>
        </w:rPr>
        <w:t xml:space="preserve"> </w:t>
      </w:r>
      <w:r w:rsidRPr="00AE168A">
        <w:rPr>
          <w:rFonts w:ascii="Times New Roman" w:eastAsiaTheme="minorHAnsi" w:hAnsi="Times New Roman" w:cs="Times New Roman"/>
          <w:b w:val="0"/>
          <w:bCs w:val="0"/>
          <w:color w:val="000000" w:themeColor="text1"/>
          <w:kern w:val="2"/>
          <w14:ligatures w14:val="standardContextual"/>
        </w:rPr>
        <w:t>Saharan Africa and Zimbabwe; and the use of data science and machine learning in research on financial inclusion and regulatory compliance. The chapter ends by explaining the conceptual framework that brings these areas together and explains why the analytical approach employed in Chapter 3 was chosen.</w:t>
      </w:r>
    </w:p>
    <w:p w:rsidR="006520BD" w:rsidRPr="00AE168A" w:rsidRDefault="006520BD" w:rsidP="00AE168A">
      <w:pPr>
        <w:pStyle w:val="Heading2"/>
        <w:spacing w:before="28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t>2.2 Theoretical Frameworks</w:t>
      </w:r>
    </w:p>
    <w:p w:rsidR="006520BD" w:rsidRPr="00AE168A" w:rsidRDefault="006520BD" w:rsidP="00AE168A">
      <w:pPr>
        <w:pStyle w:val="Heading3"/>
        <w:spacing w:before="280" w:after="160" w:line="360" w:lineRule="auto"/>
        <w:jc w:val="both"/>
        <w:rPr>
          <w:rFonts w:ascii="Times New Roman" w:hAnsi="Times New Roman" w:cs="Times New Roman"/>
          <w:color w:val="000000" w:themeColor="text1"/>
          <w:sz w:val="24"/>
          <w:szCs w:val="24"/>
        </w:rPr>
      </w:pPr>
      <w:r w:rsidRPr="00AE168A">
        <w:rPr>
          <w:rFonts w:ascii="Times New Roman" w:hAnsi="Times New Roman" w:cs="Times New Roman"/>
          <w:color w:val="000000" w:themeColor="text1"/>
          <w:sz w:val="24"/>
          <w:szCs w:val="24"/>
        </w:rPr>
        <w:t>2.2.1 The Proportionality Principle in Financial Regulation</w:t>
      </w:r>
    </w:p>
    <w:p w:rsidR="00E2107D" w:rsidRPr="00AE168A" w:rsidRDefault="00E2107D" w:rsidP="00AE168A">
      <w:pPr>
        <w:pStyle w:val="Heading3"/>
        <w:spacing w:before="280" w:after="160" w:line="360" w:lineRule="auto"/>
        <w:jc w:val="both"/>
        <w:rPr>
          <w:rFonts w:ascii="Times New Roman" w:eastAsiaTheme="minorHAnsi" w:hAnsi="Times New Roman" w:cs="Times New Roman"/>
          <w:b w:val="0"/>
          <w:bCs w:val="0"/>
          <w:color w:val="000000" w:themeColor="text1"/>
          <w:kern w:val="2"/>
          <w:sz w:val="24"/>
          <w:szCs w:val="24"/>
          <w14:ligatures w14:val="standardContextual"/>
        </w:rPr>
      </w:pPr>
      <w:r w:rsidRPr="00AE168A">
        <w:rPr>
          <w:rFonts w:ascii="Times New Roman" w:eastAsiaTheme="minorHAnsi" w:hAnsi="Times New Roman" w:cs="Times New Roman"/>
          <w:b w:val="0"/>
          <w:bCs w:val="0"/>
          <w:color w:val="000000" w:themeColor="text1"/>
          <w:kern w:val="2"/>
          <w:sz w:val="24"/>
          <w:szCs w:val="24"/>
          <w14:ligatures w14:val="standardContextual"/>
        </w:rPr>
        <w:t>The FATF Resolution 1 on risk-based approaches to AML/CTF regulation officially supports the idea of proportionality. This principle says that the amount of due diligence that should be done on clients, accounts, and transactions should match the amount of risk they pose (FATF, 2023). Risk assessments find situations that are less risky, like those with modest transaction values, limited geographic exposure, or restricted product complexity. In these cases, Simplified Due Diligence (SDD) is allowed. This makes it easier for both the customer and the institution to get the documentation they need. For relationships that are more dangerous, you require Enhanced Due Diligence (EDD). This means that checks will be more rigorous and continuing. The theoretical premise asserts that this layered design may simultaneously preserve systemic integrity.</w:t>
      </w:r>
    </w:p>
    <w:p w:rsidR="006520BD" w:rsidRPr="00AE168A" w:rsidRDefault="006520BD" w:rsidP="00AE168A">
      <w:pPr>
        <w:pStyle w:val="Heading3"/>
        <w:spacing w:before="280" w:after="160" w:line="360" w:lineRule="auto"/>
        <w:jc w:val="both"/>
        <w:rPr>
          <w:rFonts w:ascii="Times New Roman" w:hAnsi="Times New Roman" w:cs="Times New Roman"/>
          <w:color w:val="000000" w:themeColor="text1"/>
          <w:sz w:val="24"/>
          <w:szCs w:val="24"/>
        </w:rPr>
      </w:pPr>
      <w:r w:rsidRPr="00AE168A">
        <w:rPr>
          <w:rFonts w:ascii="Times New Roman" w:hAnsi="Times New Roman" w:cs="Times New Roman"/>
          <w:color w:val="000000" w:themeColor="text1"/>
          <w:sz w:val="24"/>
          <w:szCs w:val="24"/>
        </w:rPr>
        <w:t>2.2.2 Financial Exclusion Theory</w:t>
      </w:r>
    </w:p>
    <w:p w:rsidR="00EA74AA" w:rsidRPr="00AE168A" w:rsidRDefault="00EA74AA" w:rsidP="00AE168A">
      <w:pPr>
        <w:pStyle w:val="Heading3"/>
        <w:spacing w:before="280" w:after="160" w:line="360" w:lineRule="auto"/>
        <w:jc w:val="both"/>
        <w:rPr>
          <w:rFonts w:ascii="Times New Roman" w:hAnsi="Times New Roman" w:cs="Times New Roman"/>
          <w:b w:val="0"/>
          <w:color w:val="000000" w:themeColor="text1"/>
          <w:sz w:val="24"/>
          <w:szCs w:val="24"/>
          <w:lang w:val="en-ZW"/>
        </w:rPr>
      </w:pPr>
      <w:r w:rsidRPr="00AE168A">
        <w:rPr>
          <w:rFonts w:ascii="Times New Roman" w:hAnsi="Times New Roman" w:cs="Times New Roman"/>
          <w:b w:val="0"/>
          <w:color w:val="000000" w:themeColor="text1"/>
          <w:sz w:val="24"/>
          <w:szCs w:val="24"/>
          <w:lang w:val="en-ZW"/>
        </w:rPr>
        <w:t xml:space="preserve">Leyshon and Thrift (1995) were the first to speak about financial exclusion. They suggested that some social groups and people are unable to use the mainstream banking system because of geographic, socioeconomic, or institutional constraints. Subsequent developments in theory improved on this foundational spatial structure to incorporate constraints related to cost, </w:t>
      </w:r>
      <w:r w:rsidRPr="00AE168A">
        <w:rPr>
          <w:rFonts w:ascii="Times New Roman" w:hAnsi="Times New Roman" w:cs="Times New Roman"/>
          <w:b w:val="0"/>
          <w:color w:val="000000" w:themeColor="text1"/>
          <w:sz w:val="24"/>
          <w:szCs w:val="24"/>
          <w:lang w:val="en-ZW"/>
        </w:rPr>
        <w:lastRenderedPageBreak/>
        <w:t xml:space="preserve">product suitability, and self-exclusion caused by perceived institutional antagonism. These are especially important in economies that have recently experienced a crisis, such as Zimbabwe's (Sarma, 2008). </w:t>
      </w:r>
      <w:r w:rsidRPr="00AE168A">
        <w:rPr>
          <w:rFonts w:ascii="Times New Roman" w:hAnsi="Times New Roman" w:cs="Times New Roman"/>
          <w:b w:val="0"/>
          <w:color w:val="000000" w:themeColor="text1"/>
          <w:sz w:val="24"/>
          <w:szCs w:val="24"/>
          <w:lang w:val="en-ZW"/>
        </w:rPr>
        <w:br/>
      </w:r>
      <w:r w:rsidRPr="00AE168A">
        <w:rPr>
          <w:rFonts w:ascii="Times New Roman" w:hAnsi="Times New Roman" w:cs="Times New Roman"/>
          <w:b w:val="0"/>
          <w:color w:val="000000" w:themeColor="text1"/>
          <w:sz w:val="24"/>
          <w:szCs w:val="24"/>
          <w:lang w:val="en-ZW"/>
        </w:rPr>
        <w:br/>
        <w:t>For this study, the operational definition follows Demirguc-Kunt et al. (2022): financial exclusion is defined as the absence of individual ownership or use of a formal financial account at any regulated financial institution, including approved mobile money accounts.</w:t>
      </w:r>
    </w:p>
    <w:p w:rsidR="00046DD5" w:rsidRPr="00AE168A" w:rsidRDefault="00046DD5" w:rsidP="00AE168A">
      <w:pPr>
        <w:pStyle w:val="Heading3"/>
        <w:spacing w:before="280" w:after="160" w:line="360" w:lineRule="auto"/>
        <w:jc w:val="both"/>
        <w:rPr>
          <w:rFonts w:ascii="Times New Roman" w:hAnsi="Times New Roman" w:cs="Times New Roman"/>
          <w:b w:val="0"/>
          <w:color w:val="000000" w:themeColor="text1"/>
          <w:sz w:val="24"/>
          <w:szCs w:val="24"/>
        </w:rPr>
      </w:pPr>
    </w:p>
    <w:p w:rsidR="006520BD" w:rsidRPr="00AE168A" w:rsidRDefault="006520BD" w:rsidP="00AE168A">
      <w:pPr>
        <w:pStyle w:val="Heading3"/>
        <w:spacing w:before="280" w:after="160" w:line="360" w:lineRule="auto"/>
        <w:jc w:val="both"/>
        <w:rPr>
          <w:rFonts w:ascii="Times New Roman" w:hAnsi="Times New Roman" w:cs="Times New Roman"/>
          <w:color w:val="000000" w:themeColor="text1"/>
          <w:sz w:val="24"/>
          <w:szCs w:val="24"/>
        </w:rPr>
      </w:pPr>
      <w:r w:rsidRPr="00AE168A">
        <w:rPr>
          <w:rFonts w:ascii="Times New Roman" w:hAnsi="Times New Roman" w:cs="Times New Roman"/>
          <w:color w:val="000000" w:themeColor="text1"/>
          <w:sz w:val="24"/>
          <w:szCs w:val="24"/>
        </w:rPr>
        <w:t>2.2.3 The De-risking Phenomenon</w:t>
      </w:r>
    </w:p>
    <w:p w:rsidR="006520BD" w:rsidRPr="00AE168A" w:rsidRDefault="006520BD" w:rsidP="00AE168A">
      <w:pPr>
        <w:spacing w:before="120" w:after="12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t>A well-documented second-order consequence of stringent AML/KYC regulatory environments is the phenomenon of de-</w:t>
      </w:r>
      <w:r w:rsidR="00AE168A" w:rsidRPr="00AE168A">
        <w:rPr>
          <w:rFonts w:ascii="Times New Roman" w:hAnsi="Times New Roman" w:cs="Times New Roman"/>
          <w:color w:val="000000" w:themeColor="text1"/>
        </w:rPr>
        <w:t>risking the</w:t>
      </w:r>
      <w:r w:rsidRPr="00AE168A">
        <w:rPr>
          <w:rFonts w:ascii="Times New Roman" w:hAnsi="Times New Roman" w:cs="Times New Roman"/>
          <w:color w:val="000000" w:themeColor="text1"/>
        </w:rPr>
        <w:t xml:space="preserve"> systematic withdrawal of financial service providers from entire categories of customers or geographic areas deemed compliance-intensive relative to their commercial value (World Bank, 2015). The Financial Stability Board (2020) identifies macro-level de-risking, most visibly in the contraction of correspondent banking relationships, as a structural threat to global financial integration and inclusion. The dynamics observed at the retail level in developing economies share the same underlying mechanism: institutions rationally calculate that the compliance cost per account documentation collection, verification, record-keeping, ongoing </w:t>
      </w:r>
      <w:r w:rsidR="00AE168A" w:rsidRPr="00AE168A">
        <w:rPr>
          <w:rFonts w:ascii="Times New Roman" w:hAnsi="Times New Roman" w:cs="Times New Roman"/>
          <w:color w:val="000000" w:themeColor="text1"/>
        </w:rPr>
        <w:t>monitoring exceeds</w:t>
      </w:r>
      <w:r w:rsidRPr="00AE168A">
        <w:rPr>
          <w:rFonts w:ascii="Times New Roman" w:hAnsi="Times New Roman" w:cs="Times New Roman"/>
          <w:color w:val="000000" w:themeColor="text1"/>
        </w:rPr>
        <w:t xml:space="preserve"> the anticipated commercial return from lower-income or higher-documentation-risk customer segments.</w:t>
      </w:r>
    </w:p>
    <w:p w:rsidR="006520BD" w:rsidRPr="00AE168A" w:rsidRDefault="006520BD" w:rsidP="00AE168A">
      <w:pPr>
        <w:spacing w:before="60" w:after="60" w:line="360" w:lineRule="auto"/>
        <w:jc w:val="both"/>
        <w:rPr>
          <w:rFonts w:ascii="Times New Roman" w:hAnsi="Times New Roman" w:cs="Times New Roman"/>
          <w:color w:val="000000" w:themeColor="text1"/>
        </w:rPr>
      </w:pPr>
    </w:p>
    <w:p w:rsidR="006520BD" w:rsidRPr="00AE168A" w:rsidRDefault="006520BD" w:rsidP="00AE168A">
      <w:pPr>
        <w:spacing w:before="120" w:after="12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t>This study introduces the term 'micro-level de-risking' to distinguish the retail-level manifestation the refusal or deterrence of individual</w:t>
      </w:r>
      <w:bookmarkStart w:id="0" w:name="_GoBack"/>
      <w:bookmarkEnd w:id="0"/>
      <w:r w:rsidRPr="00AE168A">
        <w:rPr>
          <w:rFonts w:ascii="Times New Roman" w:hAnsi="Times New Roman" w:cs="Times New Roman"/>
          <w:color w:val="000000" w:themeColor="text1"/>
        </w:rPr>
        <w:t xml:space="preserve"> account applications from persons without complete standard </w:t>
      </w:r>
      <w:r w:rsidR="00AE168A" w:rsidRPr="00AE168A">
        <w:rPr>
          <w:rFonts w:ascii="Times New Roman" w:hAnsi="Times New Roman" w:cs="Times New Roman"/>
          <w:color w:val="000000" w:themeColor="text1"/>
        </w:rPr>
        <w:t>documentation from</w:t>
      </w:r>
      <w:r w:rsidRPr="00AE168A">
        <w:rPr>
          <w:rFonts w:ascii="Times New Roman" w:hAnsi="Times New Roman" w:cs="Times New Roman"/>
          <w:color w:val="000000" w:themeColor="text1"/>
        </w:rPr>
        <w:t xml:space="preserve"> the broader correspondent banking phenomenon. Ambrosius and Cuadros-Meñaca (2022) provide the most direct empirical treatment of this dynamic in a developing-economy context, demonstrating through analysis of Latin American financial sector data that the imposition of stricter AML/KYC requirements generated statistically significant increases in financial exclusion among low-income, low-documentation populations. The present study applies an analogous analytical logic to the Zimbabwean context.</w:t>
      </w:r>
    </w:p>
    <w:p w:rsidR="006520BD" w:rsidRPr="00AE168A" w:rsidRDefault="006520BD" w:rsidP="00AE168A">
      <w:pPr>
        <w:pStyle w:val="Heading2"/>
        <w:spacing w:before="28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t>2.3 The Global KYC Regulatory Framework</w:t>
      </w:r>
    </w:p>
    <w:p w:rsidR="00CE1B99" w:rsidRPr="00AE168A" w:rsidRDefault="00CE1B99" w:rsidP="00AE168A">
      <w:pPr>
        <w:spacing w:after="0" w:line="360" w:lineRule="auto"/>
        <w:jc w:val="both"/>
        <w:rPr>
          <w:rFonts w:ascii="Times New Roman" w:eastAsia="Times New Roman" w:hAnsi="Times New Roman" w:cs="Times New Roman"/>
          <w:color w:val="000000" w:themeColor="text1"/>
          <w:kern w:val="0"/>
          <w:lang w:val="en-ZW" w:eastAsia="en-ZW"/>
          <w14:ligatures w14:val="none"/>
        </w:rPr>
      </w:pPr>
      <w:r w:rsidRPr="00AE168A">
        <w:rPr>
          <w:rFonts w:ascii="Times New Roman" w:eastAsia="Times New Roman" w:hAnsi="Times New Roman" w:cs="Times New Roman"/>
          <w:color w:val="000000" w:themeColor="text1"/>
          <w:kern w:val="0"/>
          <w:lang w:val="en-ZW" w:eastAsia="en-ZW"/>
          <w14:ligatures w14:val="none"/>
        </w:rPr>
        <w:lastRenderedPageBreak/>
        <w:t xml:space="preserve">The G7 formed the Financial Action Task Force in 1989. The 40 Recommendations of the FATF define the global standard for AML/CTF laws. More than 200 jurisdictions have committed to follow them, which gives them the force of law (FATF, 2023). Recommendation 10 is mostly on customer due diligence (CDD). It stipulates that regulated institutions must employ "reliable, independent source documents, data, or information" to find out who a consumer is and make sure they are who they say they are before they can do any financial business. Regulators in each nation are mostly responsible for how Recommendation 10 is put into practice, notably how to define admissible documentary proof. This means that onboarding requirements vary a lot from one jurisdiction to the next. </w:t>
      </w:r>
      <w:r w:rsidRPr="00AE168A">
        <w:rPr>
          <w:rFonts w:ascii="Times New Roman" w:eastAsia="Times New Roman" w:hAnsi="Times New Roman" w:cs="Times New Roman"/>
          <w:color w:val="000000" w:themeColor="text1"/>
          <w:kern w:val="0"/>
          <w:lang w:val="en-ZW" w:eastAsia="en-ZW"/>
          <w14:ligatures w14:val="none"/>
        </w:rPr>
        <w:br/>
      </w:r>
      <w:r w:rsidRPr="00AE168A">
        <w:rPr>
          <w:rFonts w:ascii="Times New Roman" w:eastAsia="Times New Roman" w:hAnsi="Times New Roman" w:cs="Times New Roman"/>
          <w:color w:val="000000" w:themeColor="text1"/>
          <w:kern w:val="0"/>
          <w:lang w:val="en-ZW" w:eastAsia="en-ZW"/>
          <w14:ligatures w14:val="none"/>
        </w:rPr>
        <w:br/>
        <w:t>The Basel Committee on Banking Supervision's Customer Due Diligence for Banks whitepaper (Basel Committee on Banking Supervision,2019)</w:t>
      </w:r>
    </w:p>
    <w:p w:rsidR="006520BD" w:rsidRPr="00AE168A" w:rsidRDefault="006520BD" w:rsidP="00AE168A">
      <w:pPr>
        <w:pStyle w:val="Heading2"/>
        <w:spacing w:before="28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t>2.4 KYC Regulation in Zimbabwe</w:t>
      </w:r>
    </w:p>
    <w:p w:rsidR="00CE1B99" w:rsidRPr="00AE168A" w:rsidRDefault="00CE1B99" w:rsidP="00AE168A">
      <w:pPr>
        <w:pStyle w:val="Heading2"/>
        <w:spacing w:before="280" w:line="360" w:lineRule="auto"/>
        <w:jc w:val="both"/>
        <w:rPr>
          <w:rFonts w:ascii="Times New Roman" w:eastAsia="Times New Roman" w:hAnsi="Times New Roman" w:cs="Times New Roman"/>
          <w:b w:val="0"/>
          <w:bCs w:val="0"/>
          <w:color w:val="000000" w:themeColor="text1"/>
          <w:lang w:val="en-ZW" w:eastAsia="en-ZW"/>
        </w:rPr>
      </w:pPr>
      <w:r w:rsidRPr="00AE168A">
        <w:rPr>
          <w:rFonts w:ascii="Times New Roman" w:eastAsia="Times New Roman" w:hAnsi="Times New Roman" w:cs="Times New Roman"/>
          <w:b w:val="0"/>
          <w:bCs w:val="0"/>
          <w:color w:val="000000" w:themeColor="text1"/>
          <w:lang w:val="en-ZW" w:eastAsia="en-ZW"/>
        </w:rPr>
        <w:t>There are many statutes that make up Zimbabwe's AML/KYC laws. The key statute is the Money Laundering and Proceeds of Crime Act (Chapter 9:24), as it has been changed. It makes certain accountable institutions, such commercial banks, DTMFIs, building societies, SACCOs, and mobile money carriers, undertake customer due diligence, retain records of verification, and alert the Financial Intelligence Unit about any transactions that seem suspect. The FIU Act (Chapter 24:26) created the FIU to make sure that some professionals and enterprises who don't deal with money respect the requirements. On the other hand, the Reserve Bank of Zimbabwe is in responsibility of making sure that banks follow the regulations about KYC compliance.</w:t>
      </w:r>
    </w:p>
    <w:p w:rsidR="00CE1B99" w:rsidRPr="00AE168A" w:rsidRDefault="00CE1B99" w:rsidP="00AE168A">
      <w:pPr>
        <w:pStyle w:val="Heading2"/>
        <w:spacing w:before="280" w:line="360" w:lineRule="auto"/>
        <w:jc w:val="both"/>
        <w:rPr>
          <w:rFonts w:ascii="Times New Roman" w:eastAsia="Times New Roman" w:hAnsi="Times New Roman" w:cs="Times New Roman"/>
          <w:b w:val="0"/>
          <w:bCs w:val="0"/>
          <w:color w:val="000000" w:themeColor="text1"/>
          <w:lang w:val="en-ZW" w:eastAsia="en-ZW"/>
        </w:rPr>
      </w:pPr>
    </w:p>
    <w:p w:rsidR="00CE1B99" w:rsidRPr="00AE168A" w:rsidRDefault="00CE1B99" w:rsidP="00AE168A">
      <w:pPr>
        <w:pStyle w:val="Heading2"/>
        <w:spacing w:before="280" w:line="360" w:lineRule="auto"/>
        <w:jc w:val="both"/>
        <w:rPr>
          <w:rFonts w:ascii="Times New Roman" w:eastAsia="Times New Roman" w:hAnsi="Times New Roman" w:cs="Times New Roman"/>
          <w:b w:val="0"/>
          <w:bCs w:val="0"/>
          <w:color w:val="000000" w:themeColor="text1"/>
          <w:lang w:val="en-ZW" w:eastAsia="en-ZW"/>
        </w:rPr>
      </w:pPr>
      <w:r w:rsidRPr="00AE168A">
        <w:rPr>
          <w:rFonts w:ascii="Times New Roman" w:eastAsia="Times New Roman" w:hAnsi="Times New Roman" w:cs="Times New Roman"/>
          <w:b w:val="0"/>
          <w:bCs w:val="0"/>
          <w:color w:val="000000" w:themeColor="text1"/>
          <w:lang w:val="en-ZW" w:eastAsia="en-ZW"/>
        </w:rPr>
        <w:t>The ESAAMLG (2016) mutual review brought to light a major fundamental flaw in Zimbabwe's regulatory system that has not been fixed since then.</w:t>
      </w:r>
    </w:p>
    <w:p w:rsidR="006520BD" w:rsidRPr="00AE168A" w:rsidRDefault="006520BD" w:rsidP="00AE168A">
      <w:pPr>
        <w:pStyle w:val="Heading2"/>
        <w:spacing w:before="28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t>2.5 Financial Exclusion in Zimbabwe: Empirical Evidence</w:t>
      </w:r>
    </w:p>
    <w:p w:rsidR="00372D89" w:rsidRPr="00AE168A" w:rsidRDefault="00372D89" w:rsidP="00AE168A">
      <w:pPr>
        <w:spacing w:after="0" w:line="360" w:lineRule="auto"/>
        <w:jc w:val="both"/>
        <w:rPr>
          <w:rFonts w:ascii="Times New Roman" w:eastAsia="Times New Roman" w:hAnsi="Times New Roman" w:cs="Times New Roman"/>
          <w:color w:val="000000" w:themeColor="text1"/>
          <w:kern w:val="0"/>
          <w:lang w:val="en-ZW" w:eastAsia="en-ZW"/>
          <w14:ligatures w14:val="none"/>
        </w:rPr>
      </w:pPr>
      <w:r w:rsidRPr="00AE168A">
        <w:rPr>
          <w:rFonts w:ascii="Times New Roman" w:eastAsia="Times New Roman" w:hAnsi="Times New Roman" w:cs="Times New Roman"/>
          <w:color w:val="000000" w:themeColor="text1"/>
          <w:kern w:val="0"/>
          <w:lang w:val="en-ZW" w:eastAsia="en-ZW"/>
          <w14:ligatures w14:val="none"/>
        </w:rPr>
        <w:t xml:space="preserve">The FinScope Zimbabwe Survey series, completed in 2014, 2017, and most recently in 2022, is the most extensive longitudinal dataset on financial inclusion and exclusion in Zimbabwe (FinScope Zimbabwe, 2022). The 2022 poll revealed that 62 percent of Zimbabwean adults were formally financially included, an increase from 55 percent in 2017; nonetheless, this </w:t>
      </w:r>
      <w:r w:rsidRPr="00AE168A">
        <w:rPr>
          <w:rFonts w:ascii="Times New Roman" w:eastAsia="Times New Roman" w:hAnsi="Times New Roman" w:cs="Times New Roman"/>
          <w:color w:val="000000" w:themeColor="text1"/>
          <w:kern w:val="0"/>
          <w:lang w:val="en-ZW" w:eastAsia="en-ZW"/>
          <w14:ligatures w14:val="none"/>
        </w:rPr>
        <w:lastRenderedPageBreak/>
        <w:t xml:space="preserve">overall number hides significant and policy-relevant differences. In rural areas, 47% of people were financially included, while in urban areas, 79% were. 57% of women were included, whereas 67% of men were. Inclusion among informal sector workers was 44 percent, whereas it was 81 percent for legally employed individuals. This </w:t>
      </w:r>
      <w:proofErr w:type="gramStart"/>
      <w:r w:rsidRPr="00AE168A">
        <w:rPr>
          <w:rFonts w:ascii="Times New Roman" w:eastAsia="Times New Roman" w:hAnsi="Times New Roman" w:cs="Times New Roman"/>
          <w:color w:val="000000" w:themeColor="text1"/>
          <w:kern w:val="0"/>
          <w:lang w:val="en-ZW" w:eastAsia="en-ZW"/>
          <w14:ligatures w14:val="none"/>
        </w:rPr>
        <w:t>37 percentage</w:t>
      </w:r>
      <w:proofErr w:type="gramEnd"/>
      <w:r w:rsidRPr="00AE168A">
        <w:rPr>
          <w:rFonts w:ascii="Times New Roman" w:eastAsia="Times New Roman" w:hAnsi="Times New Roman" w:cs="Times New Roman"/>
          <w:color w:val="000000" w:themeColor="text1"/>
          <w:kern w:val="0"/>
          <w:lang w:val="en-ZW" w:eastAsia="en-ZW"/>
          <w14:ligatures w14:val="none"/>
        </w:rPr>
        <w:t xml:space="preserve"> point discrepancy shows how employment informality is built into the system.</w:t>
      </w:r>
    </w:p>
    <w:p w:rsidR="00B97805" w:rsidRPr="00AE168A" w:rsidRDefault="00B97805" w:rsidP="00AE168A">
      <w:pPr>
        <w:pStyle w:val="Heading2"/>
        <w:spacing w:before="280" w:line="360" w:lineRule="auto"/>
        <w:jc w:val="both"/>
        <w:rPr>
          <w:rFonts w:ascii="Times New Roman" w:hAnsi="Times New Roman" w:cs="Times New Roman"/>
          <w:b w:val="0"/>
          <w:color w:val="000000" w:themeColor="text1"/>
        </w:rPr>
      </w:pPr>
    </w:p>
    <w:p w:rsidR="00B97805" w:rsidRPr="00AE168A" w:rsidRDefault="00B97805" w:rsidP="00AE168A">
      <w:pPr>
        <w:pStyle w:val="Heading2"/>
        <w:spacing w:before="280" w:line="360" w:lineRule="auto"/>
        <w:jc w:val="both"/>
        <w:rPr>
          <w:rFonts w:ascii="Times New Roman" w:hAnsi="Times New Roman" w:cs="Times New Roman"/>
          <w:b w:val="0"/>
          <w:color w:val="000000" w:themeColor="text1"/>
        </w:rPr>
      </w:pPr>
    </w:p>
    <w:p w:rsidR="006520BD" w:rsidRPr="00AE168A" w:rsidRDefault="006520BD" w:rsidP="00AE168A">
      <w:pPr>
        <w:pStyle w:val="Heading2"/>
        <w:spacing w:before="28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t>2.6 Machine Learning Applications in Financial Inclusion Research</w:t>
      </w:r>
    </w:p>
    <w:p w:rsidR="00B97805" w:rsidRPr="00AE168A" w:rsidRDefault="00B97805" w:rsidP="00AE168A">
      <w:pPr>
        <w:spacing w:after="0" w:line="360" w:lineRule="auto"/>
        <w:jc w:val="both"/>
        <w:rPr>
          <w:rFonts w:ascii="Times New Roman" w:eastAsia="Times New Roman" w:hAnsi="Times New Roman" w:cs="Times New Roman"/>
          <w:color w:val="000000" w:themeColor="text1"/>
          <w:kern w:val="0"/>
          <w:lang w:val="en-ZW" w:eastAsia="en-ZW"/>
          <w14:ligatures w14:val="none"/>
        </w:rPr>
      </w:pPr>
      <w:r w:rsidRPr="00AE168A">
        <w:rPr>
          <w:rFonts w:ascii="Times New Roman" w:eastAsia="Times New Roman" w:hAnsi="Times New Roman" w:cs="Times New Roman"/>
          <w:color w:val="000000" w:themeColor="text1"/>
          <w:kern w:val="0"/>
          <w:lang w:val="en-ZW" w:eastAsia="en-ZW"/>
          <w14:ligatures w14:val="none"/>
        </w:rPr>
        <w:t xml:space="preserve">The FinScope Zimbabwe Survey series, completed in 2014, 2017, and most recently in 2022, is the most extensive longitudinal dataset on financial inclusion and exclusion in Zimbabwe (FinScope Zimbabwe, 2022). The 2022 poll revealed that 62 percent of Zimbabwean adults were formally financially included, an increase from 55 percent in 2017; nonetheless, this overall number hides significant and policy-relevant differences. </w:t>
      </w:r>
    </w:p>
    <w:p w:rsidR="00B97805" w:rsidRPr="00AE168A" w:rsidRDefault="00B97805" w:rsidP="00AE168A">
      <w:pPr>
        <w:spacing w:after="0" w:line="360" w:lineRule="auto"/>
        <w:jc w:val="both"/>
        <w:rPr>
          <w:rFonts w:ascii="Times New Roman" w:eastAsia="Times New Roman" w:hAnsi="Times New Roman" w:cs="Times New Roman"/>
          <w:color w:val="000000" w:themeColor="text1"/>
          <w:kern w:val="0"/>
          <w:lang w:val="en-ZW" w:eastAsia="en-ZW"/>
          <w14:ligatures w14:val="none"/>
        </w:rPr>
      </w:pPr>
    </w:p>
    <w:p w:rsidR="00B97805" w:rsidRPr="00AE168A" w:rsidRDefault="00B97805" w:rsidP="00AE168A">
      <w:pPr>
        <w:spacing w:after="0" w:line="360" w:lineRule="auto"/>
        <w:jc w:val="both"/>
        <w:rPr>
          <w:rFonts w:ascii="Times New Roman" w:eastAsia="Times New Roman" w:hAnsi="Times New Roman" w:cs="Times New Roman"/>
          <w:color w:val="000000" w:themeColor="text1"/>
          <w:kern w:val="0"/>
          <w:lang w:val="en-ZW" w:eastAsia="en-ZW"/>
          <w14:ligatures w14:val="none"/>
        </w:rPr>
      </w:pPr>
      <w:r w:rsidRPr="00AE168A">
        <w:rPr>
          <w:rFonts w:ascii="Times New Roman" w:eastAsia="Times New Roman" w:hAnsi="Times New Roman" w:cs="Times New Roman"/>
          <w:color w:val="000000" w:themeColor="text1"/>
          <w:kern w:val="0"/>
          <w:lang w:val="en-ZW" w:eastAsia="en-ZW"/>
          <w14:ligatures w14:val="none"/>
        </w:rPr>
        <w:t xml:space="preserve">In rural areas, 47% of people were financially included, while in urban areas, 79% were. 57% of women were included, whereas 67% of men were included. Inclusion among informal sector workers was 44 percent, whereas it was 81 percent for legally employed individuals. This </w:t>
      </w:r>
      <w:r w:rsidR="00AE168A" w:rsidRPr="00AE168A">
        <w:rPr>
          <w:rFonts w:ascii="Times New Roman" w:eastAsia="Times New Roman" w:hAnsi="Times New Roman" w:cs="Times New Roman"/>
          <w:color w:val="000000" w:themeColor="text1"/>
          <w:kern w:val="0"/>
          <w:lang w:val="en-ZW" w:eastAsia="en-ZW"/>
          <w14:ligatures w14:val="none"/>
        </w:rPr>
        <w:t>37-percentage</w:t>
      </w:r>
      <w:r w:rsidRPr="00AE168A">
        <w:rPr>
          <w:rFonts w:ascii="Times New Roman" w:eastAsia="Times New Roman" w:hAnsi="Times New Roman" w:cs="Times New Roman"/>
          <w:color w:val="000000" w:themeColor="text1"/>
          <w:kern w:val="0"/>
          <w:lang w:val="en-ZW" w:eastAsia="en-ZW"/>
          <w14:ligatures w14:val="none"/>
        </w:rPr>
        <w:t xml:space="preserve"> point discrepancy shows how employment informality is built into the system.</w:t>
      </w:r>
    </w:p>
    <w:p w:rsidR="006520BD" w:rsidRPr="00AE168A" w:rsidRDefault="006520BD" w:rsidP="00AE168A">
      <w:pPr>
        <w:pStyle w:val="Heading2"/>
        <w:spacing w:before="28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t>2.7 Summary and Conceptual Framework</w:t>
      </w:r>
    </w:p>
    <w:p w:rsidR="006520BD" w:rsidRPr="00AE168A" w:rsidRDefault="006520BD" w:rsidP="00AE168A">
      <w:pPr>
        <w:spacing w:before="120" w:after="12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t>The foregoing review establishes a coherent theoretical pathway from KYC compliance gaps to financial exclusion: regulatory KYC requirements create documentary barriers that individuals with 'documentation poverty' cannot satisfy; financial institutions, operating under asymmetric penalty structures and interpretive ambiguity, respond with conservative, micro-level de-risking behaviour; the combined effect is systematic exclusion from formal financial services of the individuals least equipped to bear its welfare consequences. This pathway is moderated by institutional type, geographic context, demographic characteristics, and the structural design of the regulatory framework particularly the presence or absence of a tiered KYC system.</w:t>
      </w:r>
    </w:p>
    <w:p w:rsidR="006520BD" w:rsidRPr="00AE168A" w:rsidRDefault="006520BD" w:rsidP="00AE168A">
      <w:pPr>
        <w:spacing w:before="60" w:after="60" w:line="360" w:lineRule="auto"/>
        <w:jc w:val="both"/>
        <w:rPr>
          <w:rFonts w:ascii="Times New Roman" w:hAnsi="Times New Roman" w:cs="Times New Roman"/>
          <w:color w:val="000000" w:themeColor="text1"/>
        </w:rPr>
      </w:pPr>
    </w:p>
    <w:p w:rsidR="006520BD" w:rsidRPr="00AE168A" w:rsidRDefault="006520BD" w:rsidP="00AE168A">
      <w:pPr>
        <w:spacing w:before="120" w:after="120" w:line="360" w:lineRule="auto"/>
        <w:jc w:val="both"/>
        <w:rPr>
          <w:rFonts w:ascii="Times New Roman" w:hAnsi="Times New Roman" w:cs="Times New Roman"/>
          <w:color w:val="000000" w:themeColor="text1"/>
        </w:rPr>
      </w:pPr>
      <w:r w:rsidRPr="00AE168A">
        <w:rPr>
          <w:rFonts w:ascii="Times New Roman" w:hAnsi="Times New Roman" w:cs="Times New Roman"/>
          <w:color w:val="000000" w:themeColor="text1"/>
        </w:rPr>
        <w:lastRenderedPageBreak/>
        <w:t xml:space="preserve">The conceptual framework guiding this study </w:t>
      </w:r>
      <w:r w:rsidR="000102BA" w:rsidRPr="00AE168A">
        <w:rPr>
          <w:rFonts w:ascii="Times New Roman" w:hAnsi="Times New Roman" w:cs="Times New Roman"/>
          <w:color w:val="000000" w:themeColor="text1"/>
        </w:rPr>
        <w:t>model’s</w:t>
      </w:r>
      <w:r w:rsidRPr="00AE168A">
        <w:rPr>
          <w:rFonts w:ascii="Times New Roman" w:hAnsi="Times New Roman" w:cs="Times New Roman"/>
          <w:color w:val="000000" w:themeColor="text1"/>
        </w:rPr>
        <w:t xml:space="preserve"> financial exclusion as a function of KYC gap variables (documentary barriers at the individual level, institutional compliance stringency, and regulatory framework design gaps), individual-level covariates (income quintile, education, rural/urban location, gender, age, employment sector), and institutional-level covariates (institution type, geographic reach, and assessed compliance capacity). This framework is operationalised in the research methodology presented in Chapter 3.</w:t>
      </w: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p w:rsidR="006520BD" w:rsidRPr="00AE168A" w:rsidRDefault="006520BD" w:rsidP="00AE168A">
      <w:pPr>
        <w:jc w:val="both"/>
        <w:rPr>
          <w:rFonts w:ascii="Times New Roman" w:hAnsi="Times New Roman" w:cs="Times New Roman"/>
          <w:color w:val="000000" w:themeColor="text1"/>
        </w:rPr>
      </w:pPr>
    </w:p>
    <w:sectPr w:rsidR="006520BD" w:rsidRPr="00AE1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j-ea">
    <w:altName w:val="Segoe Print"/>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AA8"/>
    <w:rsid w:val="000102BA"/>
    <w:rsid w:val="00046DD5"/>
    <w:rsid w:val="001930BA"/>
    <w:rsid w:val="002564FF"/>
    <w:rsid w:val="00272AA8"/>
    <w:rsid w:val="00284C1D"/>
    <w:rsid w:val="00372D89"/>
    <w:rsid w:val="004A5B95"/>
    <w:rsid w:val="004D5BE7"/>
    <w:rsid w:val="006520BD"/>
    <w:rsid w:val="007F423C"/>
    <w:rsid w:val="00AE168A"/>
    <w:rsid w:val="00B97805"/>
    <w:rsid w:val="00CE1B99"/>
    <w:rsid w:val="00D94CB0"/>
    <w:rsid w:val="00DB7324"/>
    <w:rsid w:val="00E2107D"/>
    <w:rsid w:val="00EA74AA"/>
    <w:rsid w:val="00EE4E9A"/>
    <w:rsid w:val="00FD28A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800F"/>
  <w15:chartTrackingRefBased/>
  <w15:docId w15:val="{1AF8886A-530A-40B6-B01C-995A5718A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20BD"/>
    <w:pPr>
      <w:spacing w:line="278" w:lineRule="auto"/>
    </w:pPr>
    <w:rPr>
      <w:kern w:val="2"/>
      <w:sz w:val="24"/>
      <w:szCs w:val="24"/>
      <w:lang w:val="en-US"/>
      <w14:ligatures w14:val="standardContextual"/>
    </w:rPr>
  </w:style>
  <w:style w:type="paragraph" w:styleId="Heading1">
    <w:name w:val="heading 1"/>
    <w:link w:val="Heading1Char"/>
    <w:uiPriority w:val="9"/>
    <w:qFormat/>
    <w:rsid w:val="006520BD"/>
    <w:pPr>
      <w:spacing w:before="480" w:after="240" w:line="240" w:lineRule="auto"/>
      <w:outlineLvl w:val="0"/>
    </w:pPr>
    <w:rPr>
      <w:rFonts w:ascii="Cambria" w:eastAsia="Cambria" w:hAnsi="Cambria" w:cs="Cambria"/>
      <w:b/>
      <w:bCs/>
      <w:color w:val="1F3864"/>
      <w:sz w:val="28"/>
      <w:szCs w:val="28"/>
      <w:lang w:val="en-US"/>
    </w:rPr>
  </w:style>
  <w:style w:type="paragraph" w:styleId="Heading2">
    <w:name w:val="heading 2"/>
    <w:link w:val="Heading2Char"/>
    <w:uiPriority w:val="9"/>
    <w:unhideWhenUsed/>
    <w:qFormat/>
    <w:rsid w:val="006520BD"/>
    <w:pPr>
      <w:spacing w:before="320" w:line="240" w:lineRule="auto"/>
      <w:outlineLvl w:val="1"/>
    </w:pPr>
    <w:rPr>
      <w:rFonts w:ascii="Cambria" w:eastAsia="Cambria" w:hAnsi="Cambria" w:cs="Cambria"/>
      <w:b/>
      <w:bCs/>
      <w:color w:val="2E4D7B"/>
      <w:sz w:val="24"/>
      <w:szCs w:val="24"/>
      <w:lang w:val="en-US"/>
    </w:rPr>
  </w:style>
  <w:style w:type="paragraph" w:styleId="Heading3">
    <w:name w:val="heading 3"/>
    <w:link w:val="Heading3Char"/>
    <w:uiPriority w:val="9"/>
    <w:unhideWhenUsed/>
    <w:qFormat/>
    <w:rsid w:val="006520BD"/>
    <w:pPr>
      <w:spacing w:before="240" w:after="120" w:line="240" w:lineRule="auto"/>
      <w:outlineLvl w:val="2"/>
    </w:pPr>
    <w:rPr>
      <w:rFonts w:ascii="Cambria" w:eastAsia="Cambria" w:hAnsi="Cambria" w:cs="Cambria"/>
      <w:b/>
      <w:bCs/>
      <w:color w:val="2E4D7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BD"/>
    <w:rPr>
      <w:rFonts w:ascii="Cambria" w:eastAsia="Cambria" w:hAnsi="Cambria" w:cs="Cambria"/>
      <w:b/>
      <w:bCs/>
      <w:color w:val="1F3864"/>
      <w:sz w:val="28"/>
      <w:szCs w:val="28"/>
      <w:lang w:val="en-US"/>
    </w:rPr>
  </w:style>
  <w:style w:type="character" w:customStyle="1" w:styleId="Heading2Char">
    <w:name w:val="Heading 2 Char"/>
    <w:basedOn w:val="DefaultParagraphFont"/>
    <w:link w:val="Heading2"/>
    <w:uiPriority w:val="9"/>
    <w:rsid w:val="006520BD"/>
    <w:rPr>
      <w:rFonts w:ascii="Cambria" w:eastAsia="Cambria" w:hAnsi="Cambria" w:cs="Cambria"/>
      <w:b/>
      <w:bCs/>
      <w:color w:val="2E4D7B"/>
      <w:sz w:val="24"/>
      <w:szCs w:val="24"/>
      <w:lang w:val="en-US"/>
    </w:rPr>
  </w:style>
  <w:style w:type="character" w:customStyle="1" w:styleId="Heading3Char">
    <w:name w:val="Heading 3 Char"/>
    <w:basedOn w:val="DefaultParagraphFont"/>
    <w:link w:val="Heading3"/>
    <w:uiPriority w:val="9"/>
    <w:rsid w:val="006520BD"/>
    <w:rPr>
      <w:rFonts w:ascii="Cambria" w:eastAsia="Cambria" w:hAnsi="Cambria" w:cs="Cambria"/>
      <w:b/>
      <w:bCs/>
      <w:color w:val="2E4D7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275697">
      <w:bodyDiv w:val="1"/>
      <w:marLeft w:val="0"/>
      <w:marRight w:val="0"/>
      <w:marTop w:val="0"/>
      <w:marBottom w:val="0"/>
      <w:divBdr>
        <w:top w:val="none" w:sz="0" w:space="0" w:color="auto"/>
        <w:left w:val="none" w:sz="0" w:space="0" w:color="auto"/>
        <w:bottom w:val="none" w:sz="0" w:space="0" w:color="auto"/>
        <w:right w:val="none" w:sz="0" w:space="0" w:color="auto"/>
      </w:divBdr>
    </w:div>
    <w:div w:id="584581469">
      <w:bodyDiv w:val="1"/>
      <w:marLeft w:val="0"/>
      <w:marRight w:val="0"/>
      <w:marTop w:val="0"/>
      <w:marBottom w:val="0"/>
      <w:divBdr>
        <w:top w:val="none" w:sz="0" w:space="0" w:color="auto"/>
        <w:left w:val="none" w:sz="0" w:space="0" w:color="auto"/>
        <w:bottom w:val="none" w:sz="0" w:space="0" w:color="auto"/>
        <w:right w:val="none" w:sz="0" w:space="0" w:color="auto"/>
      </w:divBdr>
    </w:div>
    <w:div w:id="910701808">
      <w:bodyDiv w:val="1"/>
      <w:marLeft w:val="0"/>
      <w:marRight w:val="0"/>
      <w:marTop w:val="0"/>
      <w:marBottom w:val="0"/>
      <w:divBdr>
        <w:top w:val="none" w:sz="0" w:space="0" w:color="auto"/>
        <w:left w:val="none" w:sz="0" w:space="0" w:color="auto"/>
        <w:bottom w:val="none" w:sz="0" w:space="0" w:color="auto"/>
        <w:right w:val="none" w:sz="0" w:space="0" w:color="auto"/>
      </w:divBdr>
    </w:div>
    <w:div w:id="1109541323">
      <w:bodyDiv w:val="1"/>
      <w:marLeft w:val="0"/>
      <w:marRight w:val="0"/>
      <w:marTop w:val="0"/>
      <w:marBottom w:val="0"/>
      <w:divBdr>
        <w:top w:val="none" w:sz="0" w:space="0" w:color="auto"/>
        <w:left w:val="none" w:sz="0" w:space="0" w:color="auto"/>
        <w:bottom w:val="none" w:sz="0" w:space="0" w:color="auto"/>
        <w:right w:val="none" w:sz="0" w:space="0" w:color="auto"/>
      </w:divBdr>
    </w:div>
    <w:div w:id="122159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1420</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Jonah</cp:lastModifiedBy>
  <cp:revision>2</cp:revision>
  <dcterms:created xsi:type="dcterms:W3CDTF">2026-04-23T13:38:00Z</dcterms:created>
  <dcterms:modified xsi:type="dcterms:W3CDTF">2026-04-23T13:38:00Z</dcterms:modified>
</cp:coreProperties>
</file>