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420" w:lineRule="exact"/>
        <w:jc w:val="left"/>
      </w:pPr>
      <w:r>
        <w:rPr>
          <w:rFonts w:ascii="Times New Roman" w:hAnsi="Times New Roman"/>
          <w:b/>
          <w:color w:val="000000"/>
          <w:sz w:val="28"/>
        </w:rPr>
        <w:t>Chapter 3: Methodology</w:t>
      </w:r>
    </w:p>
    <w:p>
      <w:pPr>
        <w:spacing w:before="240" w:after="120" w:line="420" w:lineRule="exact"/>
        <w:jc w:val="left"/>
      </w:pPr>
      <w:r>
        <w:rPr>
          <w:rFonts w:ascii="Times New Roman" w:hAnsi="Times New Roman"/>
          <w:b/>
          <w:color w:val="000000"/>
          <w:sz w:val="28"/>
        </w:rPr>
        <w:t>3.1 Introduction</w:t>
      </w:r>
    </w:p>
    <w:p>
      <w:pPr>
        <w:spacing w:before="0" w:after="120" w:line="360" w:lineRule="exact"/>
        <w:jc w:val="both"/>
      </w:pPr>
      <w:r>
        <w:rPr>
          <w:rFonts w:ascii="Times New Roman" w:hAnsi="Times New Roman"/>
          <w:b w:val="0"/>
          <w:color w:val="000000"/>
          <w:sz w:val="24"/>
        </w:rPr>
        <w:t>The methodology chapter provides a structured account of the research design, data acquisition strategy, analytical pipeline, and modelling approach adopted in this study. Its purpose is to establish the reproducibility and scientific rigour of the work by making explicit every decision taken between the conceptual framework set out in Chapter 2 and the empirical results presented in Chapter 4. The study is fundamentally quantitative in character: it applies machine learning classification techniques and a purpose-built composite index to a statistically calibrated synthetic dataset representing Zimbabwe's adult population, with the aim of identifying the KYC-related determinants of financial exclusion and quantifying their distributional consequences across demographic groups.</w:t>
      </w:r>
    </w:p>
    <w:p>
      <w:pPr>
        <w:spacing w:before="0" w:after="120" w:line="360" w:lineRule="exact"/>
        <w:jc w:val="both"/>
      </w:pPr>
      <w:r>
        <w:rPr>
          <w:rFonts w:ascii="Times New Roman" w:hAnsi="Times New Roman"/>
          <w:b w:val="0"/>
          <w:color w:val="000000"/>
          <w:sz w:val="24"/>
        </w:rPr>
        <w:t>The chapter is organised as follows. Section 3.2 introduces and justifies the CRISP-DM research methodology adopted as the process framework for the study. Section 3.3 describes the overall research design. Section 3.4 details the data collection and preprocessing pipeline, including the data generation process, variable definitions, quality assessment, cleaning procedures, class balancing, and feature engineering. Sections 3.5 through 3.8 address model selection, training, evaluation, tuning, and validation respectively. Section 3.9 covers the statistical analysis procedures employed, and Section 3.10 documents the software and tools used. Section 3.11 addresses ethical considerations, and the chapter concludes with a summary in Section 3.12.</w:t>
      </w:r>
    </w:p>
    <w:p>
      <w:pPr>
        <w:spacing w:before="240" w:after="120" w:line="420" w:lineRule="exact"/>
        <w:jc w:val="left"/>
      </w:pPr>
      <w:r>
        <w:rPr>
          <w:rFonts w:ascii="Times New Roman" w:hAnsi="Times New Roman"/>
          <w:b/>
          <w:color w:val="000000"/>
          <w:sz w:val="28"/>
        </w:rPr>
        <w:t>3.2 Research Methodology</w:t>
      </w:r>
    </w:p>
    <w:p>
      <w:pPr>
        <w:spacing w:before="0" w:after="120" w:line="360" w:lineRule="exact"/>
        <w:jc w:val="both"/>
      </w:pPr>
      <w:r>
        <w:rPr>
          <w:rFonts w:ascii="Times New Roman" w:hAnsi="Times New Roman"/>
          <w:b w:val="0"/>
          <w:color w:val="000000"/>
          <w:sz w:val="24"/>
        </w:rPr>
        <w:t>This study adopts the Cross-Industry Standard Process for Data Mining (CRISP-DM) as its guiding methodological framework. CRISP-DM is the most widely deployed process model in applied data science and has been successfully used across regulatory, financial inclusion, and public policy research contexts (Wirth and Hipp, 2000; Azevedo and Santos, 2008). Its six phases — Business Understanding, Data Understanding, Data Preparation, Modelling, Evaluation, and Deployment — map directly onto the structure of this study and provide a disciplined, iterative process for moving from a policy problem to actionable analytical outputs.</w:t>
      </w:r>
    </w:p>
    <w:p>
      <w:pPr>
        <w:spacing w:before="0" w:after="120" w:line="360" w:lineRule="exact"/>
        <w:jc w:val="both"/>
      </w:pPr>
      <w:r>
        <w:rPr>
          <w:rFonts w:ascii="Times New Roman" w:hAnsi="Times New Roman"/>
          <w:b w:val="0"/>
          <w:color w:val="000000"/>
          <w:sz w:val="24"/>
        </w:rPr>
        <w:t>The selection of CRISP-DM over alternative frameworks, such as KDD (Knowledge Discovery in Databases) or SEMMA, reflects the explicitly applied orientation of this research. Unlike KDD, which emphasises the knowledge discovery process from a computer science perspective, CRISP-DM foregrounds business and policy objectives — a critical requirement for a study whose outputs are intended to inform regulatory reform and financial inclusion strategy. The Business Understanding phase of CRISP-DM aligned directly with the problem formulation in Chapter 1: understanding how KYC compliance gaps drive financial exclusion in Zimbabwe and generating evidence capable of informing a tiered KYC framework. The iterative nature of the framework also accommodated the feedback loops between model evaluation and data preparation that were encountered during the analytical process, particularly in relation to class balancing and feature representation decisions.</w:t>
      </w:r>
    </w:p>
    <w:p>
      <w:pPr>
        <w:spacing w:before="0" w:after="120" w:line="360" w:lineRule="exact"/>
        <w:jc w:val="both"/>
      </w:pPr>
      <w:r>
        <w:rPr>
          <w:rFonts w:ascii="Times New Roman" w:hAnsi="Times New Roman"/>
          <w:b w:val="0"/>
          <w:color w:val="000000"/>
          <w:sz w:val="24"/>
        </w:rPr>
        <w:t>Table 3.1 maps each CRISP-DM phase onto the corresponding activities undertaken in this study.</w:t>
      </w:r>
    </w:p>
    <w:p>
      <w:pPr>
        <w:jc w:val="left"/>
      </w:pPr>
      <w:r>
        <w:rPr>
          <w:rFonts w:ascii="Times New Roman" w:hAnsi="Times New Roman"/>
          <w:b/>
          <w:color w:val="000000"/>
          <w:sz w:val="20"/>
        </w:rPr>
        <w:t>Table 3.1: Mapping of CRISP-DM phases to study activities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color w:val="000000"/>
                <w:sz w:val="20"/>
              </w:rPr>
              <w:t>CRISP-DM Phase</w:t>
            </w:r>
          </w:p>
        </w:tc>
        <w:tc>
          <w:tcPr>
            <w:tcW w:type="dxa" w:w="3120"/>
          </w:tcPr>
          <w:p>
            <w:pPr>
              <w:jc w:val="center"/>
            </w:pPr>
            <w:r>
              <w:rPr>
                <w:rFonts w:ascii="Times New Roman" w:hAnsi="Times New Roman"/>
                <w:b/>
                <w:color w:val="000000"/>
                <w:sz w:val="20"/>
              </w:rPr>
              <w:t>Activity in This Study</w:t>
            </w:r>
          </w:p>
        </w:tc>
        <w:tc>
          <w:tcPr>
            <w:tcW w:type="dxa" w:w="3120"/>
          </w:tcPr>
          <w:p>
            <w:pPr>
              <w:jc w:val="center"/>
            </w:pPr>
            <w:r>
              <w:rPr>
                <w:rFonts w:ascii="Times New Roman" w:hAnsi="Times New Roman"/>
                <w:b/>
                <w:color w:val="000000"/>
                <w:sz w:val="20"/>
              </w:rPr>
              <w:t>Chapter Reference</w:t>
            </w:r>
          </w:p>
        </w:tc>
      </w:tr>
      <w:tr>
        <w:tc>
          <w:tcPr>
            <w:tcW w:type="dxa" w:w="3120"/>
          </w:tcPr>
          <w:p>
            <w:pPr>
              <w:jc w:val="center"/>
            </w:pPr>
            <w:r>
              <w:rPr>
                <w:rFonts w:ascii="Times New Roman" w:hAnsi="Times New Roman"/>
                <w:b w:val="0"/>
                <w:color w:val="000000"/>
                <w:sz w:val="20"/>
              </w:rPr>
              <w:t>Business Understanding</w:t>
            </w:r>
          </w:p>
        </w:tc>
        <w:tc>
          <w:tcPr>
            <w:tcW w:type="dxa" w:w="3120"/>
          </w:tcPr>
          <w:p>
            <w:pPr>
              <w:jc w:val="center"/>
            </w:pPr>
            <w:r>
              <w:rPr>
                <w:rFonts w:ascii="Times New Roman" w:hAnsi="Times New Roman"/>
                <w:b w:val="0"/>
                <w:color w:val="000000"/>
                <w:sz w:val="20"/>
              </w:rPr>
              <w:t>Problem formulation, objective setting, stakeholder mapping</w:t>
            </w:r>
          </w:p>
        </w:tc>
        <w:tc>
          <w:tcPr>
            <w:tcW w:type="dxa" w:w="3120"/>
          </w:tcPr>
          <w:p>
            <w:pPr>
              <w:jc w:val="center"/>
            </w:pPr>
            <w:r>
              <w:rPr>
                <w:rFonts w:ascii="Times New Roman" w:hAnsi="Times New Roman"/>
                <w:b w:val="0"/>
                <w:color w:val="000000"/>
                <w:sz w:val="20"/>
              </w:rPr>
              <w:t>Chapter 1</w:t>
            </w:r>
          </w:p>
        </w:tc>
      </w:tr>
      <w:tr>
        <w:tc>
          <w:tcPr>
            <w:tcW w:type="dxa" w:w="3120"/>
          </w:tcPr>
          <w:p>
            <w:pPr>
              <w:jc w:val="center"/>
            </w:pPr>
            <w:r>
              <w:rPr>
                <w:rFonts w:ascii="Times New Roman" w:hAnsi="Times New Roman"/>
                <w:b w:val="0"/>
                <w:color w:val="000000"/>
                <w:sz w:val="20"/>
              </w:rPr>
              <w:t>Data Understanding</w:t>
            </w:r>
          </w:p>
        </w:tc>
        <w:tc>
          <w:tcPr>
            <w:tcW w:type="dxa" w:w="3120"/>
          </w:tcPr>
          <w:p>
            <w:pPr>
              <w:jc w:val="center"/>
            </w:pPr>
            <w:r>
              <w:rPr>
                <w:rFonts w:ascii="Times New Roman" w:hAnsi="Times New Roman"/>
                <w:b w:val="0"/>
                <w:color w:val="000000"/>
                <w:sz w:val="20"/>
              </w:rPr>
              <w:t>EDA, class distribution, descriptive statistics, FinScope calibration</w:t>
            </w:r>
          </w:p>
        </w:tc>
        <w:tc>
          <w:tcPr>
            <w:tcW w:type="dxa" w:w="3120"/>
          </w:tcPr>
          <w:p>
            <w:pPr>
              <w:jc w:val="center"/>
            </w:pPr>
            <w:r>
              <w:rPr>
                <w:rFonts w:ascii="Times New Roman" w:hAnsi="Times New Roman"/>
                <w:b w:val="0"/>
                <w:color w:val="000000"/>
                <w:sz w:val="20"/>
              </w:rPr>
              <w:t>Chapter 3 / 4</w:t>
            </w:r>
          </w:p>
        </w:tc>
      </w:tr>
      <w:tr>
        <w:tc>
          <w:tcPr>
            <w:tcW w:type="dxa" w:w="3120"/>
          </w:tcPr>
          <w:p>
            <w:pPr>
              <w:jc w:val="center"/>
            </w:pPr>
            <w:r>
              <w:rPr>
                <w:rFonts w:ascii="Times New Roman" w:hAnsi="Times New Roman"/>
                <w:b w:val="0"/>
                <w:color w:val="000000"/>
                <w:sz w:val="20"/>
              </w:rPr>
              <w:t>Data Preparation</w:t>
            </w:r>
          </w:p>
        </w:tc>
        <w:tc>
          <w:tcPr>
            <w:tcW w:type="dxa" w:w="3120"/>
          </w:tcPr>
          <w:p>
            <w:pPr>
              <w:jc w:val="center"/>
            </w:pPr>
            <w:r>
              <w:rPr>
                <w:rFonts w:ascii="Times New Roman" w:hAnsi="Times New Roman"/>
                <w:b w:val="0"/>
                <w:color w:val="000000"/>
                <w:sz w:val="20"/>
              </w:rPr>
              <w:t>Synthetic data generation, encoding, scaling, SMOTE balancing</w:t>
            </w:r>
          </w:p>
        </w:tc>
        <w:tc>
          <w:tcPr>
            <w:tcW w:type="dxa" w:w="3120"/>
          </w:tcPr>
          <w:p>
            <w:pPr>
              <w:jc w:val="center"/>
            </w:pPr>
            <w:r>
              <w:rPr>
                <w:rFonts w:ascii="Times New Roman" w:hAnsi="Times New Roman"/>
                <w:b w:val="0"/>
                <w:color w:val="000000"/>
                <w:sz w:val="20"/>
              </w:rPr>
              <w:t>Chapter 3</w:t>
            </w:r>
          </w:p>
        </w:tc>
      </w:tr>
      <w:tr>
        <w:tc>
          <w:tcPr>
            <w:tcW w:type="dxa" w:w="3120"/>
          </w:tcPr>
          <w:p>
            <w:pPr>
              <w:jc w:val="center"/>
            </w:pPr>
            <w:r>
              <w:rPr>
                <w:rFonts w:ascii="Times New Roman" w:hAnsi="Times New Roman"/>
                <w:b w:val="0"/>
                <w:color w:val="000000"/>
                <w:sz w:val="20"/>
              </w:rPr>
              <w:t>Modelling</w:t>
            </w:r>
          </w:p>
        </w:tc>
        <w:tc>
          <w:tcPr>
            <w:tcW w:type="dxa" w:w="3120"/>
          </w:tcPr>
          <w:p>
            <w:pPr>
              <w:jc w:val="center"/>
            </w:pPr>
            <w:r>
              <w:rPr>
                <w:rFonts w:ascii="Times New Roman" w:hAnsi="Times New Roman"/>
                <w:b w:val="0"/>
                <w:color w:val="000000"/>
                <w:sz w:val="20"/>
              </w:rPr>
              <w:t>Logistic Regression, Random Forest, XGBoost, FERI construction</w:t>
            </w:r>
          </w:p>
        </w:tc>
        <w:tc>
          <w:tcPr>
            <w:tcW w:type="dxa" w:w="3120"/>
          </w:tcPr>
          <w:p>
            <w:pPr>
              <w:jc w:val="center"/>
            </w:pPr>
            <w:r>
              <w:rPr>
                <w:rFonts w:ascii="Times New Roman" w:hAnsi="Times New Roman"/>
                <w:b w:val="0"/>
                <w:color w:val="000000"/>
                <w:sz w:val="20"/>
              </w:rPr>
              <w:t>Chapter 3 / 4</w:t>
            </w:r>
          </w:p>
        </w:tc>
      </w:tr>
      <w:tr>
        <w:tc>
          <w:tcPr>
            <w:tcW w:type="dxa" w:w="3120"/>
          </w:tcPr>
          <w:p>
            <w:pPr>
              <w:jc w:val="center"/>
            </w:pPr>
            <w:r>
              <w:rPr>
                <w:rFonts w:ascii="Times New Roman" w:hAnsi="Times New Roman"/>
                <w:b w:val="0"/>
                <w:color w:val="000000"/>
                <w:sz w:val="20"/>
              </w:rPr>
              <w:t>Evaluation</w:t>
            </w:r>
          </w:p>
        </w:tc>
        <w:tc>
          <w:tcPr>
            <w:tcW w:type="dxa" w:w="3120"/>
          </w:tcPr>
          <w:p>
            <w:pPr>
              <w:jc w:val="center"/>
            </w:pPr>
            <w:r>
              <w:rPr>
                <w:rFonts w:ascii="Times New Roman" w:hAnsi="Times New Roman"/>
                <w:b w:val="0"/>
                <w:color w:val="000000"/>
                <w:sz w:val="20"/>
              </w:rPr>
              <w:t>ROC-AUC, F1-score, confusion matrices, cross-validation</w:t>
            </w:r>
          </w:p>
        </w:tc>
        <w:tc>
          <w:tcPr>
            <w:tcW w:type="dxa" w:w="3120"/>
          </w:tcPr>
          <w:p>
            <w:pPr>
              <w:jc w:val="center"/>
            </w:pPr>
            <w:r>
              <w:rPr>
                <w:rFonts w:ascii="Times New Roman" w:hAnsi="Times New Roman"/>
                <w:b w:val="0"/>
                <w:color w:val="000000"/>
                <w:sz w:val="20"/>
              </w:rPr>
              <w:t>Chapter 4</w:t>
            </w:r>
          </w:p>
        </w:tc>
      </w:tr>
      <w:tr>
        <w:tc>
          <w:tcPr>
            <w:tcW w:type="dxa" w:w="3120"/>
          </w:tcPr>
          <w:p>
            <w:pPr>
              <w:jc w:val="center"/>
            </w:pPr>
            <w:r>
              <w:rPr>
                <w:rFonts w:ascii="Times New Roman" w:hAnsi="Times New Roman"/>
                <w:b w:val="0"/>
                <w:color w:val="000000"/>
                <w:sz w:val="20"/>
              </w:rPr>
              <w:t>Deployment</w:t>
            </w:r>
          </w:p>
        </w:tc>
        <w:tc>
          <w:tcPr>
            <w:tcW w:type="dxa" w:w="3120"/>
          </w:tcPr>
          <w:p>
            <w:pPr>
              <w:jc w:val="center"/>
            </w:pPr>
            <w:r>
              <w:rPr>
                <w:rFonts w:ascii="Times New Roman" w:hAnsi="Times New Roman"/>
                <w:b w:val="0"/>
                <w:color w:val="000000"/>
                <w:sz w:val="20"/>
              </w:rPr>
              <w:t>Policy recommendations, FERI as supervisory tool</w:t>
            </w:r>
          </w:p>
        </w:tc>
        <w:tc>
          <w:tcPr>
            <w:tcW w:type="dxa" w:w="3120"/>
          </w:tcPr>
          <w:p>
            <w:pPr>
              <w:jc w:val="center"/>
            </w:pPr>
            <w:r>
              <w:rPr>
                <w:rFonts w:ascii="Times New Roman" w:hAnsi="Times New Roman"/>
                <w:b w:val="0"/>
                <w:color w:val="000000"/>
                <w:sz w:val="20"/>
              </w:rPr>
              <w:t>Chapter 5</w:t>
            </w:r>
          </w:p>
        </w:tc>
      </w:tr>
    </w:tbl>
    <w:p/>
    <w:p>
      <w:pPr>
        <w:spacing w:before="240" w:after="120" w:line="420" w:lineRule="exact"/>
        <w:jc w:val="left"/>
      </w:pPr>
      <w:r>
        <w:rPr>
          <w:rFonts w:ascii="Times New Roman" w:hAnsi="Times New Roman"/>
          <w:b/>
          <w:color w:val="000000"/>
          <w:sz w:val="28"/>
        </w:rPr>
        <w:t>3.3 Research Design</w:t>
      </w:r>
    </w:p>
    <w:p>
      <w:pPr>
        <w:spacing w:before="0" w:after="120" w:line="360" w:lineRule="exact"/>
        <w:jc w:val="both"/>
      </w:pPr>
      <w:r>
        <w:rPr>
          <w:rFonts w:ascii="Times New Roman" w:hAnsi="Times New Roman"/>
          <w:b w:val="0"/>
          <w:color w:val="000000"/>
          <w:sz w:val="24"/>
        </w:rPr>
        <w:t>The study employs a quantitative, predictive-explanatory research design. It is predictive in that the principal analytical task is the construction and evaluation of machine learning models capable of classifying individual adults as financially excluded or included on the basis of KYC documentation and demographic features. It is explanatory in that the study proceeds beyond classification performance to interpret the contribution of individual features to exclusion risk, thereby generating insights into the mechanisms through which KYC barriers produce exclusion outcomes (Creswell and Creswell, 2018).</w:t>
      </w:r>
    </w:p>
    <w:p>
      <w:pPr>
        <w:spacing w:before="0" w:after="120" w:line="360" w:lineRule="exact"/>
        <w:jc w:val="both"/>
      </w:pPr>
      <w:r>
        <w:rPr>
          <w:rFonts w:ascii="Times New Roman" w:hAnsi="Times New Roman"/>
          <w:b w:val="0"/>
          <w:color w:val="000000"/>
          <w:sz w:val="24"/>
        </w:rPr>
        <w:t>The research draws exclusively on secondary and computationally generated data, reflecting both ethical considerations around the handling of financial and identity-related personal data and the practical unavailability of individual-level KYC compliance microdata from Zimbabwean financial institutions. The use of a statistically calibrated synthetic dataset as the primary analytical corpus is justified in Section 3.4.1. The overall approach is cross-sectional, representing a snapshot of the Zimbabwean adult population as characterised by the FinScope Zimbabwe Survey 2022, Zimbabwe's most recent nationally representative financial inclusion survey (FinScope Zimbabwe, 2022).</w:t>
      </w:r>
    </w:p>
    <w:p>
      <w:pPr>
        <w:spacing w:before="240" w:after="120" w:line="420" w:lineRule="exact"/>
        <w:jc w:val="left"/>
      </w:pPr>
      <w:r>
        <w:rPr>
          <w:rFonts w:ascii="Times New Roman" w:hAnsi="Times New Roman"/>
          <w:b/>
          <w:color w:val="000000"/>
          <w:sz w:val="28"/>
        </w:rPr>
        <w:t>3.4 Data Collection and Preprocessing</w:t>
      </w:r>
    </w:p>
    <w:p>
      <w:pPr>
        <w:spacing w:before="240" w:after="120" w:line="360" w:lineRule="exact"/>
        <w:jc w:val="left"/>
      </w:pPr>
      <w:r>
        <w:rPr>
          <w:rFonts w:ascii="Times New Roman" w:hAnsi="Times New Roman"/>
          <w:b/>
          <w:color w:val="000000"/>
          <w:sz w:val="24"/>
        </w:rPr>
        <w:t>3.4.1 Data Sources and Acquisition</w:t>
      </w:r>
    </w:p>
    <w:p>
      <w:pPr>
        <w:spacing w:before="0" w:after="120" w:line="360" w:lineRule="exact"/>
        <w:jc w:val="both"/>
      </w:pPr>
      <w:r>
        <w:rPr>
          <w:rFonts w:ascii="Times New Roman" w:hAnsi="Times New Roman"/>
          <w:b w:val="0"/>
          <w:color w:val="000000"/>
          <w:sz w:val="24"/>
        </w:rPr>
        <w:t>The primary dataset used in this study is a synthetic dataset of 5,000 individual records, generated programmatically using a calibrated stochastic data generation process implemented in Python. The dataset is not fabricated arbitrarily: each variable is generated using a logistic data-generating process (DGP) whose parameters are anchored to the empirical distributions reported in the FinScope Zimbabwe Consumer Survey 2022, the most recent nationally representative financial inclusion survey conducted in Zimbabwe (FinScope Zimbabwe, 2022). Secondary data sources informing the calibration include the Reserve Bank of Zimbabwe's AML/CTF Guidelines (2021), the Zimbabwe National Financial Inclusion Strategy II (2022–2026), and national census demographic data.</w:t>
      </w:r>
    </w:p>
    <w:p>
      <w:pPr>
        <w:spacing w:before="0" w:after="120" w:line="360" w:lineRule="exact"/>
        <w:jc w:val="both"/>
      </w:pPr>
      <w:r>
        <w:rPr>
          <w:rFonts w:ascii="Times New Roman" w:hAnsi="Times New Roman"/>
          <w:b w:val="0"/>
          <w:color w:val="000000"/>
          <w:sz w:val="24"/>
        </w:rPr>
        <w:t>The decision to use synthetic data rather than raw survey microdata was taken on three grounds. First, individual-level financial and identity documentation data carries a high degree of personal sensitivity; generating synthetic data that statistically mirrors the real population eliminates privacy risks associated with analysing actual respondents' records. Second, the FinScope Zimbabwe 2022 microdata is not publicly available for academic download; the published report provides aggregate statistics sufficient to calibrate a synthetic population but not the individual-level records required for supervised machine learning. Third, the use of a seeded, reproducible data generation process (seed = 42) ensures full analytical reproducibility — an increasingly recognised standard in applied data science research (Stodden, 2014). The calibration accuracy of the synthetic dataset is confirmed in Table 3.2, which compares key generated statistics against FinScope 2022 targets.</w:t>
      </w:r>
    </w:p>
    <w:p>
      <w:pPr>
        <w:jc w:val="left"/>
      </w:pPr>
      <w:r>
        <w:rPr>
          <w:rFonts w:ascii="Times New Roman" w:hAnsi="Times New Roman"/>
          <w:b/>
          <w:color w:val="000000"/>
          <w:sz w:val="20"/>
        </w:rPr>
        <w:t>Table 3.2: Synthetic dataset calibration against FinScope Zimbabwe 2022 (n = 5,000)</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color w:val="000000"/>
                <w:sz w:val="20"/>
              </w:rPr>
              <w:t>Statistic</w:t>
            </w:r>
          </w:p>
        </w:tc>
        <w:tc>
          <w:tcPr>
            <w:tcW w:type="dxa" w:w="2340"/>
          </w:tcPr>
          <w:p>
            <w:pPr>
              <w:jc w:val="center"/>
            </w:pPr>
            <w:r>
              <w:rPr>
                <w:rFonts w:ascii="Times New Roman" w:hAnsi="Times New Roman"/>
                <w:b/>
                <w:color w:val="000000"/>
                <w:sz w:val="20"/>
              </w:rPr>
              <w:t>Generated Value</w:t>
            </w:r>
          </w:p>
        </w:tc>
        <w:tc>
          <w:tcPr>
            <w:tcW w:type="dxa" w:w="2340"/>
          </w:tcPr>
          <w:p>
            <w:pPr>
              <w:jc w:val="center"/>
            </w:pPr>
            <w:r>
              <w:rPr>
                <w:rFonts w:ascii="Times New Roman" w:hAnsi="Times New Roman"/>
                <w:b/>
                <w:color w:val="000000"/>
                <w:sz w:val="20"/>
              </w:rPr>
              <w:t>FinScope 2022 Target</w:t>
            </w:r>
          </w:p>
        </w:tc>
        <w:tc>
          <w:tcPr>
            <w:tcW w:type="dxa" w:w="2340"/>
          </w:tcPr>
          <w:p>
            <w:pPr>
              <w:jc w:val="center"/>
            </w:pPr>
            <w:r>
              <w:rPr>
                <w:rFonts w:ascii="Times New Roman" w:hAnsi="Times New Roman"/>
                <w:b/>
                <w:color w:val="000000"/>
                <w:sz w:val="20"/>
              </w:rPr>
              <w:t>Difference</w:t>
            </w:r>
          </w:p>
        </w:tc>
      </w:tr>
      <w:tr>
        <w:tc>
          <w:tcPr>
            <w:tcW w:type="dxa" w:w="2340"/>
          </w:tcPr>
          <w:p>
            <w:pPr>
              <w:jc w:val="center"/>
            </w:pPr>
            <w:r>
              <w:rPr>
                <w:rFonts w:ascii="Times New Roman" w:hAnsi="Times New Roman"/>
                <w:b w:val="0"/>
                <w:color w:val="000000"/>
                <w:sz w:val="20"/>
              </w:rPr>
              <w:t>Overall exclusion rate</w:t>
            </w:r>
          </w:p>
        </w:tc>
        <w:tc>
          <w:tcPr>
            <w:tcW w:type="dxa" w:w="2340"/>
          </w:tcPr>
          <w:p>
            <w:pPr>
              <w:jc w:val="center"/>
            </w:pPr>
            <w:r>
              <w:rPr>
                <w:rFonts w:ascii="Times New Roman" w:hAnsi="Times New Roman"/>
                <w:b w:val="0"/>
                <w:color w:val="000000"/>
                <w:sz w:val="20"/>
              </w:rPr>
              <w:t>36.4%</w:t>
            </w:r>
          </w:p>
        </w:tc>
        <w:tc>
          <w:tcPr>
            <w:tcW w:type="dxa" w:w="2340"/>
          </w:tcPr>
          <w:p>
            <w:pPr>
              <w:jc w:val="center"/>
            </w:pPr>
            <w:r>
              <w:rPr>
                <w:rFonts w:ascii="Times New Roman" w:hAnsi="Times New Roman"/>
                <w:b w:val="0"/>
                <w:color w:val="000000"/>
                <w:sz w:val="20"/>
              </w:rPr>
              <w:t>38.0%</w:t>
            </w:r>
          </w:p>
        </w:tc>
        <w:tc>
          <w:tcPr>
            <w:tcW w:type="dxa" w:w="2340"/>
          </w:tcPr>
          <w:p>
            <w:pPr>
              <w:jc w:val="center"/>
            </w:pPr>
            <w:r>
              <w:rPr>
                <w:rFonts w:ascii="Times New Roman" w:hAnsi="Times New Roman"/>
                <w:b w:val="0"/>
                <w:color w:val="000000"/>
                <w:sz w:val="20"/>
              </w:rPr>
              <w:t>-1.6 pp</w:t>
            </w:r>
          </w:p>
        </w:tc>
      </w:tr>
      <w:tr>
        <w:tc>
          <w:tcPr>
            <w:tcW w:type="dxa" w:w="2340"/>
          </w:tcPr>
          <w:p>
            <w:pPr>
              <w:jc w:val="center"/>
            </w:pPr>
            <w:r>
              <w:rPr>
                <w:rFonts w:ascii="Times New Roman" w:hAnsi="Times New Roman"/>
                <w:b w:val="0"/>
                <w:color w:val="000000"/>
                <w:sz w:val="20"/>
              </w:rPr>
              <w:t>Urban exclusion rate</w:t>
            </w:r>
          </w:p>
        </w:tc>
        <w:tc>
          <w:tcPr>
            <w:tcW w:type="dxa" w:w="2340"/>
          </w:tcPr>
          <w:p>
            <w:pPr>
              <w:jc w:val="center"/>
            </w:pPr>
            <w:r>
              <w:rPr>
                <w:rFonts w:ascii="Times New Roman" w:hAnsi="Times New Roman"/>
                <w:b w:val="0"/>
                <w:color w:val="000000"/>
                <w:sz w:val="20"/>
              </w:rPr>
              <w:t>16.9%</w:t>
            </w:r>
          </w:p>
        </w:tc>
        <w:tc>
          <w:tcPr>
            <w:tcW w:type="dxa" w:w="2340"/>
          </w:tcPr>
          <w:p>
            <w:pPr>
              <w:jc w:val="center"/>
            </w:pPr>
            <w:r>
              <w:rPr>
                <w:rFonts w:ascii="Times New Roman" w:hAnsi="Times New Roman"/>
                <w:b w:val="0"/>
                <w:color w:val="000000"/>
                <w:sz w:val="20"/>
              </w:rPr>
              <w:t>21.0%</w:t>
            </w:r>
          </w:p>
        </w:tc>
        <w:tc>
          <w:tcPr>
            <w:tcW w:type="dxa" w:w="2340"/>
          </w:tcPr>
          <w:p>
            <w:pPr>
              <w:jc w:val="center"/>
            </w:pPr>
            <w:r>
              <w:rPr>
                <w:rFonts w:ascii="Times New Roman" w:hAnsi="Times New Roman"/>
                <w:b w:val="0"/>
                <w:color w:val="000000"/>
                <w:sz w:val="20"/>
              </w:rPr>
              <w:t>-4.1 pp</w:t>
            </w:r>
          </w:p>
        </w:tc>
      </w:tr>
      <w:tr>
        <w:tc>
          <w:tcPr>
            <w:tcW w:type="dxa" w:w="2340"/>
          </w:tcPr>
          <w:p>
            <w:pPr>
              <w:jc w:val="center"/>
            </w:pPr>
            <w:r>
              <w:rPr>
                <w:rFonts w:ascii="Times New Roman" w:hAnsi="Times New Roman"/>
                <w:b w:val="0"/>
                <w:color w:val="000000"/>
                <w:sz w:val="20"/>
              </w:rPr>
              <w:t>Rural exclusion rate</w:t>
            </w:r>
          </w:p>
        </w:tc>
        <w:tc>
          <w:tcPr>
            <w:tcW w:type="dxa" w:w="2340"/>
          </w:tcPr>
          <w:p>
            <w:pPr>
              <w:jc w:val="center"/>
            </w:pPr>
            <w:r>
              <w:rPr>
                <w:rFonts w:ascii="Times New Roman" w:hAnsi="Times New Roman"/>
                <w:b w:val="0"/>
                <w:color w:val="000000"/>
                <w:sz w:val="20"/>
              </w:rPr>
              <w:t>61.0%</w:t>
            </w:r>
          </w:p>
        </w:tc>
        <w:tc>
          <w:tcPr>
            <w:tcW w:type="dxa" w:w="2340"/>
          </w:tcPr>
          <w:p>
            <w:pPr>
              <w:jc w:val="center"/>
            </w:pPr>
            <w:r>
              <w:rPr>
                <w:rFonts w:ascii="Times New Roman" w:hAnsi="Times New Roman"/>
                <w:b w:val="0"/>
                <w:color w:val="000000"/>
                <w:sz w:val="20"/>
              </w:rPr>
              <w:t>53.0%</w:t>
            </w:r>
          </w:p>
        </w:tc>
        <w:tc>
          <w:tcPr>
            <w:tcW w:type="dxa" w:w="2340"/>
          </w:tcPr>
          <w:p>
            <w:pPr>
              <w:jc w:val="center"/>
            </w:pPr>
            <w:r>
              <w:rPr>
                <w:rFonts w:ascii="Times New Roman" w:hAnsi="Times New Roman"/>
                <w:b w:val="0"/>
                <w:color w:val="000000"/>
                <w:sz w:val="20"/>
              </w:rPr>
              <w:t>+8.0 pp</w:t>
            </w:r>
          </w:p>
        </w:tc>
      </w:tr>
      <w:tr>
        <w:tc>
          <w:tcPr>
            <w:tcW w:type="dxa" w:w="2340"/>
          </w:tcPr>
          <w:p>
            <w:pPr>
              <w:jc w:val="center"/>
            </w:pPr>
            <w:r>
              <w:rPr>
                <w:rFonts w:ascii="Times New Roman" w:hAnsi="Times New Roman"/>
                <w:b w:val="0"/>
                <w:color w:val="000000"/>
                <w:sz w:val="20"/>
              </w:rPr>
              <w:t>Male exclusion rate</w:t>
            </w:r>
          </w:p>
        </w:tc>
        <w:tc>
          <w:tcPr>
            <w:tcW w:type="dxa" w:w="2340"/>
          </w:tcPr>
          <w:p>
            <w:pPr>
              <w:jc w:val="center"/>
            </w:pPr>
            <w:r>
              <w:rPr>
                <w:rFonts w:ascii="Times New Roman" w:hAnsi="Times New Roman"/>
                <w:b w:val="0"/>
                <w:color w:val="000000"/>
                <w:sz w:val="20"/>
              </w:rPr>
              <w:t>33.7%</w:t>
            </w:r>
          </w:p>
        </w:tc>
        <w:tc>
          <w:tcPr>
            <w:tcW w:type="dxa" w:w="2340"/>
          </w:tcPr>
          <w:p>
            <w:pPr>
              <w:jc w:val="center"/>
            </w:pPr>
            <w:r>
              <w:rPr>
                <w:rFonts w:ascii="Times New Roman" w:hAnsi="Times New Roman"/>
                <w:b w:val="0"/>
                <w:color w:val="000000"/>
                <w:sz w:val="20"/>
              </w:rPr>
              <w:t>33.0%</w:t>
            </w:r>
          </w:p>
        </w:tc>
        <w:tc>
          <w:tcPr>
            <w:tcW w:type="dxa" w:w="2340"/>
          </w:tcPr>
          <w:p>
            <w:pPr>
              <w:jc w:val="center"/>
            </w:pPr>
            <w:r>
              <w:rPr>
                <w:rFonts w:ascii="Times New Roman" w:hAnsi="Times New Roman"/>
                <w:b w:val="0"/>
                <w:color w:val="000000"/>
                <w:sz w:val="20"/>
              </w:rPr>
              <w:t>+0.7 pp</w:t>
            </w:r>
          </w:p>
        </w:tc>
      </w:tr>
      <w:tr>
        <w:tc>
          <w:tcPr>
            <w:tcW w:type="dxa" w:w="2340"/>
          </w:tcPr>
          <w:p>
            <w:pPr>
              <w:jc w:val="center"/>
            </w:pPr>
            <w:r>
              <w:rPr>
                <w:rFonts w:ascii="Times New Roman" w:hAnsi="Times New Roman"/>
                <w:b w:val="0"/>
                <w:color w:val="000000"/>
                <w:sz w:val="20"/>
              </w:rPr>
              <w:t>Female exclusion rate</w:t>
            </w:r>
          </w:p>
        </w:tc>
        <w:tc>
          <w:tcPr>
            <w:tcW w:type="dxa" w:w="2340"/>
          </w:tcPr>
          <w:p>
            <w:pPr>
              <w:jc w:val="center"/>
            </w:pPr>
            <w:r>
              <w:rPr>
                <w:rFonts w:ascii="Times New Roman" w:hAnsi="Times New Roman"/>
                <w:b w:val="0"/>
                <w:color w:val="000000"/>
                <w:sz w:val="20"/>
              </w:rPr>
              <w:t>38.9%</w:t>
            </w:r>
          </w:p>
        </w:tc>
        <w:tc>
          <w:tcPr>
            <w:tcW w:type="dxa" w:w="2340"/>
          </w:tcPr>
          <w:p>
            <w:pPr>
              <w:jc w:val="center"/>
            </w:pPr>
            <w:r>
              <w:rPr>
                <w:rFonts w:ascii="Times New Roman" w:hAnsi="Times New Roman"/>
                <w:b w:val="0"/>
                <w:color w:val="000000"/>
                <w:sz w:val="20"/>
              </w:rPr>
              <w:t>43.0%</w:t>
            </w:r>
          </w:p>
        </w:tc>
        <w:tc>
          <w:tcPr>
            <w:tcW w:type="dxa" w:w="2340"/>
          </w:tcPr>
          <w:p>
            <w:pPr>
              <w:jc w:val="center"/>
            </w:pPr>
            <w:r>
              <w:rPr>
                <w:rFonts w:ascii="Times New Roman" w:hAnsi="Times New Roman"/>
                <w:b w:val="0"/>
                <w:color w:val="000000"/>
                <w:sz w:val="20"/>
              </w:rPr>
              <w:t>-4.1 pp</w:t>
            </w:r>
          </w:p>
        </w:tc>
      </w:tr>
      <w:tr>
        <w:tc>
          <w:tcPr>
            <w:tcW w:type="dxa" w:w="2340"/>
          </w:tcPr>
          <w:p>
            <w:pPr>
              <w:jc w:val="center"/>
            </w:pPr>
            <w:r>
              <w:rPr>
                <w:rFonts w:ascii="Times New Roman" w:hAnsi="Times New Roman"/>
                <w:b w:val="0"/>
                <w:color w:val="000000"/>
                <w:sz w:val="20"/>
              </w:rPr>
              <w:t>Formal sector exclusion</w:t>
            </w:r>
          </w:p>
        </w:tc>
        <w:tc>
          <w:tcPr>
            <w:tcW w:type="dxa" w:w="2340"/>
          </w:tcPr>
          <w:p>
            <w:pPr>
              <w:jc w:val="center"/>
            </w:pPr>
            <w:r>
              <w:rPr>
                <w:rFonts w:ascii="Times New Roman" w:hAnsi="Times New Roman"/>
                <w:b w:val="0"/>
                <w:color w:val="000000"/>
                <w:sz w:val="20"/>
              </w:rPr>
              <w:t>15.0%</w:t>
            </w:r>
          </w:p>
        </w:tc>
        <w:tc>
          <w:tcPr>
            <w:tcW w:type="dxa" w:w="2340"/>
          </w:tcPr>
          <w:p>
            <w:pPr>
              <w:jc w:val="center"/>
            </w:pPr>
            <w:r>
              <w:rPr>
                <w:rFonts w:ascii="Times New Roman" w:hAnsi="Times New Roman"/>
                <w:b w:val="0"/>
                <w:color w:val="000000"/>
                <w:sz w:val="20"/>
              </w:rPr>
              <w:t>19.0%</w:t>
            </w:r>
          </w:p>
        </w:tc>
        <w:tc>
          <w:tcPr>
            <w:tcW w:type="dxa" w:w="2340"/>
          </w:tcPr>
          <w:p>
            <w:pPr>
              <w:jc w:val="center"/>
            </w:pPr>
            <w:r>
              <w:rPr>
                <w:rFonts w:ascii="Times New Roman" w:hAnsi="Times New Roman"/>
                <w:b w:val="0"/>
                <w:color w:val="000000"/>
                <w:sz w:val="20"/>
              </w:rPr>
              <w:t>-4.0 pp</w:t>
            </w:r>
          </w:p>
        </w:tc>
      </w:tr>
      <w:tr>
        <w:tc>
          <w:tcPr>
            <w:tcW w:type="dxa" w:w="2340"/>
          </w:tcPr>
          <w:p>
            <w:pPr>
              <w:jc w:val="center"/>
            </w:pPr>
            <w:r>
              <w:rPr>
                <w:rFonts w:ascii="Times New Roman" w:hAnsi="Times New Roman"/>
                <w:b w:val="0"/>
                <w:color w:val="000000"/>
                <w:sz w:val="20"/>
              </w:rPr>
              <w:t>Informal sector exclusion</w:t>
            </w:r>
          </w:p>
        </w:tc>
        <w:tc>
          <w:tcPr>
            <w:tcW w:type="dxa" w:w="2340"/>
          </w:tcPr>
          <w:p>
            <w:pPr>
              <w:jc w:val="center"/>
            </w:pPr>
            <w:r>
              <w:rPr>
                <w:rFonts w:ascii="Times New Roman" w:hAnsi="Times New Roman"/>
                <w:b w:val="0"/>
                <w:color w:val="000000"/>
                <w:sz w:val="20"/>
              </w:rPr>
              <w:t>42.7%</w:t>
            </w:r>
          </w:p>
        </w:tc>
        <w:tc>
          <w:tcPr>
            <w:tcW w:type="dxa" w:w="2340"/>
          </w:tcPr>
          <w:p>
            <w:pPr>
              <w:jc w:val="center"/>
            </w:pPr>
            <w:r>
              <w:rPr>
                <w:rFonts w:ascii="Times New Roman" w:hAnsi="Times New Roman"/>
                <w:b w:val="0"/>
                <w:color w:val="000000"/>
                <w:sz w:val="20"/>
              </w:rPr>
              <w:t>56.0%</w:t>
            </w:r>
          </w:p>
        </w:tc>
        <w:tc>
          <w:tcPr>
            <w:tcW w:type="dxa" w:w="2340"/>
          </w:tcPr>
          <w:p>
            <w:pPr>
              <w:jc w:val="center"/>
            </w:pPr>
            <w:r>
              <w:rPr>
                <w:rFonts w:ascii="Times New Roman" w:hAnsi="Times New Roman"/>
                <w:b w:val="0"/>
                <w:color w:val="000000"/>
                <w:sz w:val="20"/>
              </w:rPr>
              <w:t>-13.3 pp</w:t>
            </w:r>
          </w:p>
        </w:tc>
      </w:tr>
      <w:tr>
        <w:tc>
          <w:tcPr>
            <w:tcW w:type="dxa" w:w="2340"/>
          </w:tcPr>
          <w:p>
            <w:pPr>
              <w:jc w:val="center"/>
            </w:pPr>
            <w:r>
              <w:rPr>
                <w:rFonts w:ascii="Times New Roman" w:hAnsi="Times New Roman"/>
                <w:b w:val="0"/>
                <w:color w:val="000000"/>
                <w:sz w:val="20"/>
              </w:rPr>
              <w:t>Unemployed exclusion</w:t>
            </w:r>
          </w:p>
        </w:tc>
        <w:tc>
          <w:tcPr>
            <w:tcW w:type="dxa" w:w="2340"/>
          </w:tcPr>
          <w:p>
            <w:pPr>
              <w:jc w:val="center"/>
            </w:pPr>
            <w:r>
              <w:rPr>
                <w:rFonts w:ascii="Times New Roman" w:hAnsi="Times New Roman"/>
                <w:b w:val="0"/>
                <w:color w:val="000000"/>
                <w:sz w:val="20"/>
              </w:rPr>
              <w:t>46.6%</w:t>
            </w:r>
          </w:p>
        </w:tc>
        <w:tc>
          <w:tcPr>
            <w:tcW w:type="dxa" w:w="2340"/>
          </w:tcPr>
          <w:p>
            <w:pPr>
              <w:jc w:val="center"/>
            </w:pPr>
            <w:r>
              <w:rPr>
                <w:rFonts w:ascii="Times New Roman" w:hAnsi="Times New Roman"/>
                <w:b w:val="0"/>
                <w:color w:val="000000"/>
                <w:sz w:val="20"/>
              </w:rPr>
              <w:t>70.0%</w:t>
            </w:r>
          </w:p>
        </w:tc>
        <w:tc>
          <w:tcPr>
            <w:tcW w:type="dxa" w:w="2340"/>
          </w:tcPr>
          <w:p>
            <w:pPr>
              <w:jc w:val="center"/>
            </w:pPr>
            <w:r>
              <w:rPr>
                <w:rFonts w:ascii="Times New Roman" w:hAnsi="Times New Roman"/>
                <w:b w:val="0"/>
                <w:color w:val="000000"/>
                <w:sz w:val="20"/>
              </w:rPr>
              <w:t>-23.4 pp</w:t>
            </w:r>
          </w:p>
        </w:tc>
      </w:tr>
    </w:tbl>
    <w:p/>
    <w:p>
      <w:pPr>
        <w:spacing w:before="240" w:after="120" w:line="360" w:lineRule="exact"/>
        <w:jc w:val="left"/>
      </w:pPr>
      <w:r>
        <w:rPr>
          <w:rFonts w:ascii="Times New Roman" w:hAnsi="Times New Roman"/>
          <w:b/>
          <w:color w:val="000000"/>
          <w:sz w:val="24"/>
        </w:rPr>
        <w:t>3.4.2 Data Variables and Features</w:t>
      </w:r>
    </w:p>
    <w:p>
      <w:pPr>
        <w:spacing w:before="0" w:after="120" w:line="360" w:lineRule="exact"/>
        <w:jc w:val="both"/>
      </w:pPr>
      <w:r>
        <w:rPr>
          <w:rFonts w:ascii="Times New Roman" w:hAnsi="Times New Roman"/>
          <w:b w:val="0"/>
          <w:color w:val="000000"/>
          <w:sz w:val="24"/>
        </w:rPr>
        <w:t>The dataset comprises 17 variables across four conceptual categories: demographic characteristics, KYC documentation status, institutional access factors, and the binary outcome variable. Table 3.3 provides a full variable dictionary.</w:t>
      </w:r>
    </w:p>
    <w:p>
      <w:pPr>
        <w:jc w:val="left"/>
      </w:pPr>
      <w:r>
        <w:rPr>
          <w:rFonts w:ascii="Times New Roman" w:hAnsi="Times New Roman"/>
          <w:b/>
          <w:color w:val="000000"/>
          <w:sz w:val="20"/>
        </w:rPr>
        <w:t>Table 3.3: Variable dictionary (n = 5,000)</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color w:val="000000"/>
                <w:sz w:val="20"/>
              </w:rPr>
              <w:t>Variable</w:t>
            </w:r>
          </w:p>
        </w:tc>
        <w:tc>
          <w:tcPr>
            <w:tcW w:type="dxa" w:w="3120"/>
          </w:tcPr>
          <w:p>
            <w:pPr>
              <w:jc w:val="center"/>
            </w:pPr>
            <w:r>
              <w:rPr>
                <w:rFonts w:ascii="Times New Roman" w:hAnsi="Times New Roman"/>
                <w:b/>
                <w:color w:val="000000"/>
                <w:sz w:val="20"/>
              </w:rPr>
              <w:t>Type</w:t>
            </w:r>
          </w:p>
        </w:tc>
        <w:tc>
          <w:tcPr>
            <w:tcW w:type="dxa" w:w="3120"/>
          </w:tcPr>
          <w:p>
            <w:pPr>
              <w:jc w:val="center"/>
            </w:pPr>
            <w:r>
              <w:rPr>
                <w:rFonts w:ascii="Times New Roman" w:hAnsi="Times New Roman"/>
                <w:b/>
                <w:color w:val="000000"/>
                <w:sz w:val="20"/>
              </w:rPr>
              <w:t>Description / Values</w:t>
            </w:r>
          </w:p>
        </w:tc>
      </w:tr>
      <w:tr>
        <w:tc>
          <w:tcPr>
            <w:tcW w:type="dxa" w:w="3120"/>
          </w:tcPr>
          <w:p>
            <w:pPr>
              <w:jc w:val="center"/>
            </w:pPr>
            <w:r>
              <w:rPr>
                <w:rFonts w:ascii="Times New Roman" w:hAnsi="Times New Roman"/>
                <w:b w:val="0"/>
                <w:color w:val="000000"/>
                <w:sz w:val="20"/>
              </w:rPr>
              <w:t>age</w:t>
            </w:r>
          </w:p>
        </w:tc>
        <w:tc>
          <w:tcPr>
            <w:tcW w:type="dxa" w:w="3120"/>
          </w:tcPr>
          <w:p>
            <w:pPr>
              <w:jc w:val="center"/>
            </w:pPr>
            <w:r>
              <w:rPr>
                <w:rFonts w:ascii="Times New Roman" w:hAnsi="Times New Roman"/>
                <w:b w:val="0"/>
                <w:color w:val="000000"/>
                <w:sz w:val="20"/>
              </w:rPr>
              <w:t>Numeric</w:t>
            </w:r>
          </w:p>
        </w:tc>
        <w:tc>
          <w:tcPr>
            <w:tcW w:type="dxa" w:w="3120"/>
          </w:tcPr>
          <w:p>
            <w:pPr>
              <w:jc w:val="center"/>
            </w:pPr>
            <w:r>
              <w:rPr>
                <w:rFonts w:ascii="Times New Roman" w:hAnsi="Times New Roman"/>
                <w:b w:val="0"/>
                <w:color w:val="000000"/>
                <w:sz w:val="20"/>
              </w:rPr>
              <w:t>Age in years (18–80); mean = 37.9, SD = 13.1</w:t>
            </w:r>
          </w:p>
        </w:tc>
      </w:tr>
      <w:tr>
        <w:tc>
          <w:tcPr>
            <w:tcW w:type="dxa" w:w="3120"/>
          </w:tcPr>
          <w:p>
            <w:pPr>
              <w:jc w:val="center"/>
            </w:pPr>
            <w:r>
              <w:rPr>
                <w:rFonts w:ascii="Times New Roman" w:hAnsi="Times New Roman"/>
                <w:b w:val="0"/>
                <w:color w:val="000000"/>
                <w:sz w:val="20"/>
              </w:rPr>
              <w:t>gender</w:t>
            </w:r>
          </w:p>
        </w:tc>
        <w:tc>
          <w:tcPr>
            <w:tcW w:type="dxa" w:w="3120"/>
          </w:tcPr>
          <w:p>
            <w:pPr>
              <w:jc w:val="center"/>
            </w:pPr>
            <w:r>
              <w:rPr>
                <w:rFonts w:ascii="Times New Roman" w:hAnsi="Times New Roman"/>
                <w:b w:val="0"/>
                <w:color w:val="000000"/>
                <w:sz w:val="20"/>
              </w:rPr>
              <w:t>Categorical</w:t>
            </w:r>
          </w:p>
        </w:tc>
        <w:tc>
          <w:tcPr>
            <w:tcW w:type="dxa" w:w="3120"/>
          </w:tcPr>
          <w:p>
            <w:pPr>
              <w:jc w:val="center"/>
            </w:pPr>
            <w:r>
              <w:rPr>
                <w:rFonts w:ascii="Times New Roman" w:hAnsi="Times New Roman"/>
                <w:b w:val="0"/>
                <w:color w:val="000000"/>
                <w:sz w:val="20"/>
              </w:rPr>
              <w:t>Male / Female (49% / 51%)</w:t>
            </w:r>
          </w:p>
        </w:tc>
      </w:tr>
      <w:tr>
        <w:tc>
          <w:tcPr>
            <w:tcW w:type="dxa" w:w="3120"/>
          </w:tcPr>
          <w:p>
            <w:pPr>
              <w:jc w:val="center"/>
            </w:pPr>
            <w:r>
              <w:rPr>
                <w:rFonts w:ascii="Times New Roman" w:hAnsi="Times New Roman"/>
                <w:b w:val="0"/>
                <w:color w:val="000000"/>
                <w:sz w:val="20"/>
              </w:rPr>
              <w:t>location</w:t>
            </w:r>
          </w:p>
        </w:tc>
        <w:tc>
          <w:tcPr>
            <w:tcW w:type="dxa" w:w="3120"/>
          </w:tcPr>
          <w:p>
            <w:pPr>
              <w:jc w:val="center"/>
            </w:pPr>
            <w:r>
              <w:rPr>
                <w:rFonts w:ascii="Times New Roman" w:hAnsi="Times New Roman"/>
                <w:b w:val="0"/>
                <w:color w:val="000000"/>
                <w:sz w:val="20"/>
              </w:rPr>
              <w:t>Categorical</w:t>
            </w:r>
          </w:p>
        </w:tc>
        <w:tc>
          <w:tcPr>
            <w:tcW w:type="dxa" w:w="3120"/>
          </w:tcPr>
          <w:p>
            <w:pPr>
              <w:jc w:val="center"/>
            </w:pPr>
            <w:r>
              <w:rPr>
                <w:rFonts w:ascii="Times New Roman" w:hAnsi="Times New Roman"/>
                <w:b w:val="0"/>
                <w:color w:val="000000"/>
                <w:sz w:val="20"/>
              </w:rPr>
              <w:t>Urban / Rural (55.9% / 44.1%)</w:t>
            </w:r>
          </w:p>
        </w:tc>
      </w:tr>
      <w:tr>
        <w:tc>
          <w:tcPr>
            <w:tcW w:type="dxa" w:w="3120"/>
          </w:tcPr>
          <w:p>
            <w:pPr>
              <w:jc w:val="center"/>
            </w:pPr>
            <w:r>
              <w:rPr>
                <w:rFonts w:ascii="Times New Roman" w:hAnsi="Times New Roman"/>
                <w:b w:val="0"/>
                <w:color w:val="000000"/>
                <w:sz w:val="20"/>
              </w:rPr>
              <w:t>province</w:t>
            </w:r>
          </w:p>
        </w:tc>
        <w:tc>
          <w:tcPr>
            <w:tcW w:type="dxa" w:w="3120"/>
          </w:tcPr>
          <w:p>
            <w:pPr>
              <w:jc w:val="center"/>
            </w:pPr>
            <w:r>
              <w:rPr>
                <w:rFonts w:ascii="Times New Roman" w:hAnsi="Times New Roman"/>
                <w:b w:val="0"/>
                <w:color w:val="000000"/>
                <w:sz w:val="20"/>
              </w:rPr>
              <w:t>Categorical</w:t>
            </w:r>
          </w:p>
        </w:tc>
        <w:tc>
          <w:tcPr>
            <w:tcW w:type="dxa" w:w="3120"/>
          </w:tcPr>
          <w:p>
            <w:pPr>
              <w:jc w:val="center"/>
            </w:pPr>
            <w:r>
              <w:rPr>
                <w:rFonts w:ascii="Times New Roman" w:hAnsi="Times New Roman"/>
                <w:b w:val="0"/>
                <w:color w:val="000000"/>
                <w:sz w:val="20"/>
              </w:rPr>
              <w:t>10 Zimbabwean provinces</w:t>
            </w:r>
          </w:p>
        </w:tc>
      </w:tr>
      <w:tr>
        <w:tc>
          <w:tcPr>
            <w:tcW w:type="dxa" w:w="3120"/>
          </w:tcPr>
          <w:p>
            <w:pPr>
              <w:jc w:val="center"/>
            </w:pPr>
            <w:r>
              <w:rPr>
                <w:rFonts w:ascii="Times New Roman" w:hAnsi="Times New Roman"/>
                <w:b w:val="0"/>
                <w:color w:val="000000"/>
                <w:sz w:val="20"/>
              </w:rPr>
              <w:t>education_level</w:t>
            </w:r>
          </w:p>
        </w:tc>
        <w:tc>
          <w:tcPr>
            <w:tcW w:type="dxa" w:w="3120"/>
          </w:tcPr>
          <w:p>
            <w:pPr>
              <w:jc w:val="center"/>
            </w:pPr>
            <w:r>
              <w:rPr>
                <w:rFonts w:ascii="Times New Roman" w:hAnsi="Times New Roman"/>
                <w:b w:val="0"/>
                <w:color w:val="000000"/>
                <w:sz w:val="20"/>
              </w:rPr>
              <w:t>Categorical</w:t>
            </w:r>
          </w:p>
        </w:tc>
        <w:tc>
          <w:tcPr>
            <w:tcW w:type="dxa" w:w="3120"/>
          </w:tcPr>
          <w:p>
            <w:pPr>
              <w:jc w:val="center"/>
            </w:pPr>
            <w:r>
              <w:rPr>
                <w:rFonts w:ascii="Times New Roman" w:hAnsi="Times New Roman"/>
                <w:b w:val="0"/>
                <w:color w:val="000000"/>
                <w:sz w:val="20"/>
              </w:rPr>
              <w:t>None / Primary / Secondary / Tertiary</w:t>
            </w:r>
          </w:p>
        </w:tc>
      </w:tr>
      <w:tr>
        <w:tc>
          <w:tcPr>
            <w:tcW w:type="dxa" w:w="3120"/>
          </w:tcPr>
          <w:p>
            <w:pPr>
              <w:jc w:val="center"/>
            </w:pPr>
            <w:r>
              <w:rPr>
                <w:rFonts w:ascii="Times New Roman" w:hAnsi="Times New Roman"/>
                <w:b w:val="0"/>
                <w:color w:val="000000"/>
                <w:sz w:val="20"/>
              </w:rPr>
              <w:t>employment_sector</w:t>
            </w:r>
          </w:p>
        </w:tc>
        <w:tc>
          <w:tcPr>
            <w:tcW w:type="dxa" w:w="3120"/>
          </w:tcPr>
          <w:p>
            <w:pPr>
              <w:jc w:val="center"/>
            </w:pPr>
            <w:r>
              <w:rPr>
                <w:rFonts w:ascii="Times New Roman" w:hAnsi="Times New Roman"/>
                <w:b w:val="0"/>
                <w:color w:val="000000"/>
                <w:sz w:val="20"/>
              </w:rPr>
              <w:t>Categorical</w:t>
            </w:r>
          </w:p>
        </w:tc>
        <w:tc>
          <w:tcPr>
            <w:tcW w:type="dxa" w:w="3120"/>
          </w:tcPr>
          <w:p>
            <w:pPr>
              <w:jc w:val="center"/>
            </w:pPr>
            <w:r>
              <w:rPr>
                <w:rFonts w:ascii="Times New Roman" w:hAnsi="Times New Roman"/>
                <w:b w:val="0"/>
                <w:color w:val="000000"/>
                <w:sz w:val="20"/>
              </w:rPr>
              <w:t>Formal / Informal / Unemployed</w:t>
            </w:r>
          </w:p>
        </w:tc>
      </w:tr>
      <w:tr>
        <w:tc>
          <w:tcPr>
            <w:tcW w:type="dxa" w:w="3120"/>
          </w:tcPr>
          <w:p>
            <w:pPr>
              <w:jc w:val="center"/>
            </w:pPr>
            <w:r>
              <w:rPr>
                <w:rFonts w:ascii="Times New Roman" w:hAnsi="Times New Roman"/>
                <w:b w:val="0"/>
                <w:color w:val="000000"/>
                <w:sz w:val="20"/>
              </w:rPr>
              <w:t>income_quintile</w:t>
            </w:r>
          </w:p>
        </w:tc>
        <w:tc>
          <w:tcPr>
            <w:tcW w:type="dxa" w:w="3120"/>
          </w:tcPr>
          <w:p>
            <w:pPr>
              <w:jc w:val="center"/>
            </w:pPr>
            <w:r>
              <w:rPr>
                <w:rFonts w:ascii="Times New Roman" w:hAnsi="Times New Roman"/>
                <w:b w:val="0"/>
                <w:color w:val="000000"/>
                <w:sz w:val="20"/>
              </w:rPr>
              <w:t>Ordinal</w:t>
            </w:r>
          </w:p>
        </w:tc>
        <w:tc>
          <w:tcPr>
            <w:tcW w:type="dxa" w:w="3120"/>
          </w:tcPr>
          <w:p>
            <w:pPr>
              <w:jc w:val="center"/>
            </w:pPr>
            <w:r>
              <w:rPr>
                <w:rFonts w:ascii="Times New Roman" w:hAnsi="Times New Roman"/>
                <w:b w:val="0"/>
                <w:color w:val="000000"/>
                <w:sz w:val="20"/>
              </w:rPr>
              <w:t>Income quintile 1 (lowest) to 5 (highest)</w:t>
            </w:r>
          </w:p>
        </w:tc>
      </w:tr>
      <w:tr>
        <w:tc>
          <w:tcPr>
            <w:tcW w:type="dxa" w:w="3120"/>
          </w:tcPr>
          <w:p>
            <w:pPr>
              <w:jc w:val="center"/>
            </w:pPr>
            <w:r>
              <w:rPr>
                <w:rFonts w:ascii="Times New Roman" w:hAnsi="Times New Roman"/>
                <w:b w:val="0"/>
                <w:color w:val="000000"/>
                <w:sz w:val="20"/>
              </w:rPr>
              <w:t>has_national_id</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1 = holds valid national ID; 0 = does not</w:t>
            </w:r>
          </w:p>
        </w:tc>
      </w:tr>
      <w:tr>
        <w:tc>
          <w:tcPr>
            <w:tcW w:type="dxa" w:w="3120"/>
          </w:tcPr>
          <w:p>
            <w:pPr>
              <w:jc w:val="center"/>
            </w:pPr>
            <w:r>
              <w:rPr>
                <w:rFonts w:ascii="Times New Roman" w:hAnsi="Times New Roman"/>
                <w:b w:val="0"/>
                <w:color w:val="000000"/>
                <w:sz w:val="20"/>
              </w:rPr>
              <w:t>has_proof_of_address</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1 = holds valid proof of address; 0 = does not</w:t>
            </w:r>
          </w:p>
        </w:tc>
      </w:tr>
      <w:tr>
        <w:tc>
          <w:tcPr>
            <w:tcW w:type="dxa" w:w="3120"/>
          </w:tcPr>
          <w:p>
            <w:pPr>
              <w:jc w:val="center"/>
            </w:pPr>
            <w:r>
              <w:rPr>
                <w:rFonts w:ascii="Times New Roman" w:hAnsi="Times New Roman"/>
                <w:b w:val="0"/>
                <w:color w:val="000000"/>
                <w:sz w:val="20"/>
              </w:rPr>
              <w:t>has_tin</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1 = holds Tax Identification Number; 0 = does not</w:t>
            </w:r>
          </w:p>
        </w:tc>
      </w:tr>
      <w:tr>
        <w:tc>
          <w:tcPr>
            <w:tcW w:type="dxa" w:w="3120"/>
          </w:tcPr>
          <w:p>
            <w:pPr>
              <w:jc w:val="center"/>
            </w:pPr>
            <w:r>
              <w:rPr>
                <w:rFonts w:ascii="Times New Roman" w:hAnsi="Times New Roman"/>
                <w:b w:val="0"/>
                <w:color w:val="000000"/>
                <w:sz w:val="20"/>
              </w:rPr>
              <w:t>has_employment_proof</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1 = holds employment documentation; 0 = does not</w:t>
            </w:r>
          </w:p>
        </w:tc>
      </w:tr>
      <w:tr>
        <w:tc>
          <w:tcPr>
            <w:tcW w:type="dxa" w:w="3120"/>
          </w:tcPr>
          <w:p>
            <w:pPr>
              <w:jc w:val="center"/>
            </w:pPr>
            <w:r>
              <w:rPr>
                <w:rFonts w:ascii="Times New Roman" w:hAnsi="Times New Roman"/>
                <w:b w:val="0"/>
                <w:color w:val="000000"/>
                <w:sz w:val="20"/>
              </w:rPr>
              <w:t>kyc_doc_score</w:t>
            </w:r>
          </w:p>
        </w:tc>
        <w:tc>
          <w:tcPr>
            <w:tcW w:type="dxa" w:w="3120"/>
          </w:tcPr>
          <w:p>
            <w:pPr>
              <w:jc w:val="center"/>
            </w:pPr>
            <w:r>
              <w:rPr>
                <w:rFonts w:ascii="Times New Roman" w:hAnsi="Times New Roman"/>
                <w:b w:val="0"/>
                <w:color w:val="000000"/>
                <w:sz w:val="20"/>
              </w:rPr>
              <w:t>Numeric</w:t>
            </w:r>
          </w:p>
        </w:tc>
        <w:tc>
          <w:tcPr>
            <w:tcW w:type="dxa" w:w="3120"/>
          </w:tcPr>
          <w:p>
            <w:pPr>
              <w:jc w:val="center"/>
            </w:pPr>
            <w:r>
              <w:rPr>
                <w:rFonts w:ascii="Times New Roman" w:hAnsi="Times New Roman"/>
                <w:b w:val="0"/>
                <w:color w:val="000000"/>
                <w:sz w:val="20"/>
              </w:rPr>
              <w:t>Count of KYC documents held (0–4); mean = 2.52</w:t>
            </w:r>
          </w:p>
        </w:tc>
      </w:tr>
      <w:tr>
        <w:tc>
          <w:tcPr>
            <w:tcW w:type="dxa" w:w="3120"/>
          </w:tcPr>
          <w:p>
            <w:pPr>
              <w:jc w:val="center"/>
            </w:pPr>
            <w:r>
              <w:rPr>
                <w:rFonts w:ascii="Times New Roman" w:hAnsi="Times New Roman"/>
                <w:b w:val="0"/>
                <w:color w:val="000000"/>
                <w:sz w:val="20"/>
              </w:rPr>
              <w:t>kyc_barrier_level</w:t>
            </w:r>
          </w:p>
        </w:tc>
        <w:tc>
          <w:tcPr>
            <w:tcW w:type="dxa" w:w="3120"/>
          </w:tcPr>
          <w:p>
            <w:pPr>
              <w:jc w:val="center"/>
            </w:pPr>
            <w:r>
              <w:rPr>
                <w:rFonts w:ascii="Times New Roman" w:hAnsi="Times New Roman"/>
                <w:b w:val="0"/>
                <w:color w:val="000000"/>
                <w:sz w:val="20"/>
              </w:rPr>
              <w:t>Categorical</w:t>
            </w:r>
          </w:p>
        </w:tc>
        <w:tc>
          <w:tcPr>
            <w:tcW w:type="dxa" w:w="3120"/>
          </w:tcPr>
          <w:p>
            <w:pPr>
              <w:jc w:val="center"/>
            </w:pPr>
            <w:r>
              <w:rPr>
                <w:rFonts w:ascii="Times New Roman" w:hAnsi="Times New Roman"/>
                <w:b w:val="0"/>
                <w:color w:val="000000"/>
                <w:sz w:val="20"/>
              </w:rPr>
              <w:t>High (0–1 docs) / Medium (2 docs) / Low (3–4 docs)</w:t>
            </w:r>
          </w:p>
        </w:tc>
      </w:tr>
      <w:tr>
        <w:tc>
          <w:tcPr>
            <w:tcW w:type="dxa" w:w="3120"/>
          </w:tcPr>
          <w:p>
            <w:pPr>
              <w:jc w:val="center"/>
            </w:pPr>
            <w:r>
              <w:rPr>
                <w:rFonts w:ascii="Times New Roman" w:hAnsi="Times New Roman"/>
                <w:b w:val="0"/>
                <w:color w:val="000000"/>
                <w:sz w:val="20"/>
              </w:rPr>
              <w:t>distance_to_branch_km</w:t>
            </w:r>
          </w:p>
        </w:tc>
        <w:tc>
          <w:tcPr>
            <w:tcW w:type="dxa" w:w="3120"/>
          </w:tcPr>
          <w:p>
            <w:pPr>
              <w:jc w:val="center"/>
            </w:pPr>
            <w:r>
              <w:rPr>
                <w:rFonts w:ascii="Times New Roman" w:hAnsi="Times New Roman"/>
                <w:b w:val="0"/>
                <w:color w:val="000000"/>
                <w:sz w:val="20"/>
              </w:rPr>
              <w:t>Numeric</w:t>
            </w:r>
          </w:p>
        </w:tc>
        <w:tc>
          <w:tcPr>
            <w:tcW w:type="dxa" w:w="3120"/>
          </w:tcPr>
          <w:p>
            <w:pPr>
              <w:jc w:val="center"/>
            </w:pPr>
            <w:r>
              <w:rPr>
                <w:rFonts w:ascii="Times New Roman" w:hAnsi="Times New Roman"/>
                <w:b w:val="0"/>
                <w:color w:val="000000"/>
                <w:sz w:val="20"/>
              </w:rPr>
              <w:t>Distance to nearest bank branch (km); mean = 11.2 km</w:t>
            </w:r>
          </w:p>
        </w:tc>
      </w:tr>
      <w:tr>
        <w:tc>
          <w:tcPr>
            <w:tcW w:type="dxa" w:w="3120"/>
          </w:tcPr>
          <w:p>
            <w:pPr>
              <w:jc w:val="center"/>
            </w:pPr>
            <w:r>
              <w:rPr>
                <w:rFonts w:ascii="Times New Roman" w:hAnsi="Times New Roman"/>
                <w:b w:val="0"/>
                <w:color w:val="000000"/>
                <w:sz w:val="20"/>
              </w:rPr>
              <w:t>has_mobile_phone</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1 = owns mobile phone; 0 = does not</w:t>
            </w:r>
          </w:p>
        </w:tc>
      </w:tr>
      <w:tr>
        <w:tc>
          <w:tcPr>
            <w:tcW w:type="dxa" w:w="3120"/>
          </w:tcPr>
          <w:p>
            <w:pPr>
              <w:jc w:val="center"/>
            </w:pPr>
            <w:r>
              <w:rPr>
                <w:rFonts w:ascii="Times New Roman" w:hAnsi="Times New Roman"/>
                <w:b w:val="0"/>
                <w:color w:val="000000"/>
                <w:sz w:val="20"/>
              </w:rPr>
              <w:t>has_internet</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1 = has internet access; 0 = does not</w:t>
            </w:r>
          </w:p>
        </w:tc>
      </w:tr>
      <w:tr>
        <w:tc>
          <w:tcPr>
            <w:tcW w:type="dxa" w:w="3120"/>
          </w:tcPr>
          <w:p>
            <w:pPr>
              <w:jc w:val="center"/>
            </w:pPr>
            <w:r>
              <w:rPr>
                <w:rFonts w:ascii="Times New Roman" w:hAnsi="Times New Roman"/>
                <w:b w:val="0"/>
                <w:color w:val="000000"/>
                <w:sz w:val="20"/>
              </w:rPr>
              <w:t>financially_excluded</w:t>
            </w:r>
          </w:p>
        </w:tc>
        <w:tc>
          <w:tcPr>
            <w:tcW w:type="dxa" w:w="3120"/>
          </w:tcPr>
          <w:p>
            <w:pPr>
              <w:jc w:val="center"/>
            </w:pPr>
            <w:r>
              <w:rPr>
                <w:rFonts w:ascii="Times New Roman" w:hAnsi="Times New Roman"/>
                <w:b w:val="0"/>
                <w:color w:val="000000"/>
                <w:sz w:val="20"/>
              </w:rPr>
              <w:t>Binary</w:t>
            </w:r>
          </w:p>
        </w:tc>
        <w:tc>
          <w:tcPr>
            <w:tcW w:type="dxa" w:w="3120"/>
          </w:tcPr>
          <w:p>
            <w:pPr>
              <w:jc w:val="center"/>
            </w:pPr>
            <w:r>
              <w:rPr>
                <w:rFonts w:ascii="Times New Roman" w:hAnsi="Times New Roman"/>
                <w:b w:val="0"/>
                <w:color w:val="000000"/>
                <w:sz w:val="20"/>
              </w:rPr>
              <w:t>Outcome: 1 = excluded; 0 = included (36.4% excluded)</w:t>
            </w:r>
          </w:p>
        </w:tc>
      </w:tr>
    </w:tbl>
    <w:p/>
    <w:p>
      <w:pPr>
        <w:spacing w:before="240" w:after="120" w:line="360" w:lineRule="exact"/>
        <w:jc w:val="left"/>
      </w:pPr>
      <w:r>
        <w:rPr>
          <w:rFonts w:ascii="Times New Roman" w:hAnsi="Times New Roman"/>
          <w:b/>
          <w:color w:val="000000"/>
          <w:sz w:val="24"/>
        </w:rPr>
        <w:t>3.4.3 Data Quality Assessment</w:t>
      </w:r>
    </w:p>
    <w:p>
      <w:pPr>
        <w:spacing w:before="0" w:after="120" w:line="360" w:lineRule="exact"/>
        <w:jc w:val="both"/>
      </w:pPr>
      <w:r>
        <w:rPr>
          <w:rFonts w:ascii="Times New Roman" w:hAnsi="Times New Roman"/>
          <w:b w:val="0"/>
          <w:color w:val="000000"/>
          <w:sz w:val="24"/>
        </w:rPr>
        <w:t>A systematic data quality assessment was conducted prior to modelling. Inspection of the generated dataset confirmed zero missing values across all 17 variables — an expected property of a seeded generative process, but one that was verified programmatically using pandas null-value audits. The class distribution of the target variable was assessed: 63.6 per cent of observations were financially included and 36.4 per cent financially excluded, yielding a class imbalance ratio of approximately 1.75:1. This level of imbalance is moderate and realistic — closely reflecting the 38 per cent exclusion rate in the FinScope 2022 population — but was addressed in preprocessing to prevent classifier bias towards the majority class (see Section 3.4.8). Numerical variables were inspected for plausible ranges: age was bounded between 18 and 80; distance to branch ranged from 0.1 km to 150 km, consistent with the geographic distribution of bank branches in Zimbabwe. Categorical variables were verified for consistent encoding across all records.</w:t>
      </w:r>
    </w:p>
    <w:p>
      <w:pPr>
        <w:spacing w:before="240" w:after="120" w:line="360" w:lineRule="exact"/>
        <w:jc w:val="left"/>
      </w:pPr>
      <w:r>
        <w:rPr>
          <w:rFonts w:ascii="Times New Roman" w:hAnsi="Times New Roman"/>
          <w:b/>
          <w:color w:val="000000"/>
          <w:sz w:val="24"/>
        </w:rPr>
        <w:t>3.4.4 Data Cleaning and Preprocessing</w:t>
      </w:r>
    </w:p>
    <w:p>
      <w:pPr>
        <w:spacing w:before="0" w:after="120" w:line="360" w:lineRule="exact"/>
        <w:jc w:val="both"/>
      </w:pPr>
      <w:r>
        <w:rPr>
          <w:rFonts w:ascii="Times New Roman" w:hAnsi="Times New Roman"/>
          <w:b w:val="0"/>
          <w:color w:val="000000"/>
          <w:sz w:val="24"/>
        </w:rPr>
        <w:t>Three preprocessing operations were applied to prepare the raw dataset for modelling. First, categorical variables — gender, location, province, education_level, employment_sector, and kyc_barrier_level — were one-hot encoded using pandas get_dummies() with drop_first=True to eliminate perfect multicollinearity. This transformation expanded the feature space from 17 raw variables to 28 modelling features. Second, the four continuous and ordinal numeric variables — age, income_quintile, kyc_doc_score, and distance_to_branch_km — were standardised using scikit-learn's StandardScaler (zero mean, unit variance), which is necessary to ensure that the logistic regression model is not distorted by differences in variable scales, and that regularisation operates equitably across features. The six binary indicator variables — has_national_id, has_proof_of_address, has_tin, has_employment_proof, has_mobile_phone, and has_internet — were retained without scaling, as their [0,1] range is already consistent with standardised feature space. Third, the processed feature matrix was split into training (80 per cent, n = 4,000) and test (20 per cent, n = 1,000) subsets using stratified random sampling to preserve the class ratio across both partitions (random_state = 42).</w:t>
      </w:r>
    </w:p>
    <w:p>
      <w:pPr>
        <w:spacing w:before="240" w:after="120" w:line="360" w:lineRule="exact"/>
        <w:jc w:val="left"/>
      </w:pPr>
      <w:r>
        <w:rPr>
          <w:rFonts w:ascii="Times New Roman" w:hAnsi="Times New Roman"/>
          <w:b/>
          <w:color w:val="000000"/>
          <w:sz w:val="24"/>
        </w:rPr>
        <w:t>3.4.5 Data Integration and Merging</w:t>
      </w:r>
    </w:p>
    <w:p>
      <w:pPr>
        <w:spacing w:before="0" w:after="120" w:line="360" w:lineRule="exact"/>
        <w:jc w:val="both"/>
      </w:pPr>
      <w:r>
        <w:rPr>
          <w:rFonts w:ascii="Times New Roman" w:hAnsi="Times New Roman"/>
          <w:b w:val="0"/>
          <w:color w:val="000000"/>
          <w:sz w:val="24"/>
        </w:rPr>
        <w:t>This study draws on a single integrated dataset; no multi-source data merging was required at the individual record level. Integration took place at the calibration stage, where parameters from multiple secondary sources — FinScope Zimbabwe (2022), RBZ AML guidelines (2021), national census demographic distributions, and provincial banking density data — were synthesised into the data-generating process. The FERI index construction (Section 3.4.6) represents a form of derived data integration, combining three sub-index scores computed from the same underlying dataset into a composite 0–100 composite score appended to the master dataset as additional analytic variables.</w:t>
      </w:r>
    </w:p>
    <w:p>
      <w:pPr>
        <w:spacing w:before="240" w:after="120" w:line="360" w:lineRule="exact"/>
        <w:jc w:val="left"/>
      </w:pPr>
      <w:r>
        <w:rPr>
          <w:rFonts w:ascii="Times New Roman" w:hAnsi="Times New Roman"/>
          <w:b/>
          <w:color w:val="000000"/>
          <w:sz w:val="24"/>
        </w:rPr>
        <w:t>3.4.6 Feature Engineering</w:t>
      </w:r>
    </w:p>
    <w:p>
      <w:pPr>
        <w:spacing w:before="0" w:after="120" w:line="360" w:lineRule="exact"/>
        <w:jc w:val="both"/>
      </w:pPr>
      <w:r>
        <w:rPr>
          <w:rFonts w:ascii="Times New Roman" w:hAnsi="Times New Roman"/>
          <w:b w:val="0"/>
          <w:color w:val="000000"/>
          <w:sz w:val="24"/>
        </w:rPr>
        <w:t>Beyond the preprocessing steps described above, two substantive feature engineering contributions were made. The first is the KYC Documentation Score (kyc_doc_score), a simple additive composite of the four binary KYC indicator variables, ranging from 0 (no documentation) to 4 (full documentation). This score serves both as a modelling feature and as a component of the FERI index. The second, and analytically more significant, contribution is the Financial Exclusion Risk Index (FERI) — a novel composite index developed specifically for this study to provide a multidimensional, policy-relevant quantification of KYC-driven exclusion risk at the individual level.</w:t>
      </w:r>
    </w:p>
    <w:p>
      <w:pPr>
        <w:spacing w:before="0" w:after="120" w:line="360" w:lineRule="exact"/>
        <w:jc w:val="both"/>
      </w:pPr>
      <w:r>
        <w:rPr>
          <w:rFonts w:ascii="Times New Roman" w:hAnsi="Times New Roman"/>
          <w:b w:val="0"/>
          <w:color w:val="000000"/>
          <w:sz w:val="24"/>
        </w:rPr>
        <w:t>FERI is constructed as a weighted combination of three sub-indices, each scored on a 0–100 scale and combined as follows: FERI = 0.45 × KYC Documentation Gap Score + 0.35 × Demographic Vulnerability Score + 0.20 × Institutional Barrier Score. The KYC Documentation Gap Score (weight 0.45) reflects missing documentation weighted by regulatory importance: absence of a national identity document contributes 40 points, absence of proof of address 30 points, absence of a Tax Identification Number 20 points, and absence of employment proof 10 points. The Demographic Vulnerability Score (weight 0.35) captures structural social risk factors: rural residence (20 points), unemployment (20 points), informal employment (12 points), income quintile 1 (15 points), income quintile 2 (8 points), female gender (10 points), no formal education (12 points), primary education only (6 points), and age below 25 or above 64 years (8 points). The Institutional Barrier Score (weight 0.20) operationalises access barriers: distance to nearest branch exceeding 20 km (30 points), 10–20 km (15 points), 5–10 km (5 points), absence of a mobile phone (30 points), no internet access (20 points), and location in a remote province — Matabeleland North, Matabeleland South, Mashonaland Central, or Masvingo (20 points). FERI scores are banded into four risk categories: Low Risk (0–25), Moderate Risk (25–45), High Risk (45–65), and Critical Risk (65–100).</w:t>
      </w:r>
    </w:p>
    <w:p>
      <w:pPr>
        <w:spacing w:before="0" w:after="120" w:line="360" w:lineRule="exact"/>
        <w:jc w:val="both"/>
      </w:pPr>
      <w:r>
        <w:rPr>
          <w:rFonts w:ascii="Times New Roman" w:hAnsi="Times New Roman"/>
          <w:b w:val="0"/>
          <w:color w:val="000000"/>
          <w:sz w:val="24"/>
        </w:rPr>
        <w:t>The differential weighting of sub-indices reflects the regulatory and empirical literature reviewed in Chapter 2. The primacy assigned to KYC documentation gaps (0.45) is grounded in the finding that document possession is the single most proximate determinant of account opening eligibility under Zimbabwe's AML/CTF framework. Demographic vulnerability receives a weight of 0.35, reflecting its well-documented role as a structural amplifier of documentation deficits (World Bank, 2022; FinScope Zimbabwe, 2022). Institutional barriers are weighted at 0.20, acknowledging their significance in remote areas whilst recognising that digital channels are progressively attenuating the role of physical branch proximity in financial service access.</w:t>
      </w:r>
    </w:p>
    <w:p>
      <w:pPr>
        <w:spacing w:before="240" w:after="120" w:line="360" w:lineRule="exact"/>
        <w:jc w:val="left"/>
      </w:pPr>
      <w:r>
        <w:rPr>
          <w:rFonts w:ascii="Times New Roman" w:hAnsi="Times New Roman"/>
          <w:b/>
          <w:color w:val="000000"/>
          <w:sz w:val="24"/>
        </w:rPr>
        <w:t>3.4.7 Dimensionality Reduction</w:t>
      </w:r>
    </w:p>
    <w:p>
      <w:pPr>
        <w:spacing w:before="0" w:after="120" w:line="360" w:lineRule="exact"/>
        <w:jc w:val="both"/>
      </w:pPr>
      <w:r>
        <w:rPr>
          <w:rFonts w:ascii="Times New Roman" w:hAnsi="Times New Roman"/>
          <w:b w:val="0"/>
          <w:color w:val="000000"/>
          <w:sz w:val="24"/>
        </w:rPr>
        <w:t>Dimensionality reduction techniques such as Principal Component Analysis (PCA) were considered but not applied in this study. The processed feature space comprises 28 variables following one-hot encoding — a dimensionality well within the manageable range for all three modelling algorithms employed, and one that does not present computational challenges for the dataset size of n = 4,000 training observations. More importantly, the interpretability of individual features is an analytical priority in this study: the policy contribution of the work depends on identifying which specific KYC and demographic variables most strongly predict exclusion, an objective that would be undermined by collapsing features into latent components. All 28 post-encoding features were therefore retained for modelling.</w:t>
      </w:r>
    </w:p>
    <w:p>
      <w:pPr>
        <w:spacing w:before="240" w:after="120" w:line="360" w:lineRule="exact"/>
        <w:jc w:val="left"/>
      </w:pPr>
      <w:r>
        <w:rPr>
          <w:rFonts w:ascii="Times New Roman" w:hAnsi="Times New Roman"/>
          <w:b/>
          <w:color w:val="000000"/>
          <w:sz w:val="24"/>
        </w:rPr>
        <w:t>3.4.8 Data Sampling and Class Balancing</w:t>
      </w:r>
    </w:p>
    <w:p>
      <w:pPr>
        <w:spacing w:before="0" w:after="120" w:line="360" w:lineRule="exact"/>
        <w:jc w:val="both"/>
      </w:pPr>
      <w:r>
        <w:rPr>
          <w:rFonts w:ascii="Times New Roman" w:hAnsi="Times New Roman"/>
          <w:b w:val="0"/>
          <w:color w:val="000000"/>
          <w:sz w:val="24"/>
        </w:rPr>
        <w:t>The class imbalance present in the dataset — 63.6 per cent financially included versus 36.4 per cent excluded — was addressed using the Synthetic Minority Over-sampling Technique (SMOTE), applied to the training set only (Chawla et al., 2002). SMOTE generates synthetic minority-class observations by interpolating between existing minority-class feature vectors in the training space, rather than simply duplicating existing minority observations as basic oversampling does. This produces a more generalisable class balance and mitigates the overfitting risk associated with naive replication. After SMOTE application, the training set contained 5,092 observations (2,546 per class), representing a perfectly balanced 1:1 class ratio. Critically, SMOTE was applied strictly to the training set after the train-test split; the test set retained its natural class distribution of 636 included and 364 excluded observations, ensuring that evaluation metrics reflect performance on a realistically distributed population.</w:t>
      </w:r>
    </w:p>
    <w:p>
      <w:pPr>
        <w:spacing w:before="240" w:after="120" w:line="360" w:lineRule="exact"/>
        <w:jc w:val="left"/>
      </w:pPr>
      <w:r>
        <w:rPr>
          <w:rFonts w:ascii="Times New Roman" w:hAnsi="Times New Roman"/>
          <w:b/>
          <w:color w:val="000000"/>
          <w:sz w:val="24"/>
        </w:rPr>
        <w:t>3.4.9 Data Privacy and Anonymisation</w:t>
      </w:r>
    </w:p>
    <w:p>
      <w:pPr>
        <w:spacing w:before="0" w:after="120" w:line="360" w:lineRule="exact"/>
        <w:jc w:val="both"/>
      </w:pPr>
      <w:r>
        <w:rPr>
          <w:rFonts w:ascii="Times New Roman" w:hAnsi="Times New Roman"/>
          <w:b w:val="0"/>
          <w:color w:val="000000"/>
          <w:sz w:val="24"/>
        </w:rPr>
        <w:t>Because the study employs entirely synthetic data, no real individual's personal, financial, or identity information is used at any stage of the analysis. The data generation process produces statistically representative records that are not associated with, nor traceable to, any actual person. This design eliminates the privacy risks associated with working with real financial microdata — including risks of re-identification, data breach, and misuse of sensitive financial or identity documentation information. The synthetic data approach is therefore consistent with Zimbabwe's Cyber and Data Protection Act (Chapter 11:23) and with international best practice for privacy-preserving research in financial and regulatory contexts.</w:t>
      </w:r>
    </w:p>
    <w:p>
      <w:pPr>
        <w:spacing w:before="240" w:after="120" w:line="360" w:lineRule="exact"/>
        <w:jc w:val="left"/>
      </w:pPr>
      <w:r>
        <w:rPr>
          <w:rFonts w:ascii="Times New Roman" w:hAnsi="Times New Roman"/>
          <w:b/>
          <w:color w:val="000000"/>
          <w:sz w:val="24"/>
        </w:rPr>
        <w:t>3.4.10 Data Documentation</w:t>
      </w:r>
    </w:p>
    <w:p>
      <w:pPr>
        <w:spacing w:before="0" w:after="120" w:line="360" w:lineRule="exact"/>
        <w:jc w:val="both"/>
      </w:pPr>
      <w:r>
        <w:rPr>
          <w:rFonts w:ascii="Times New Roman" w:hAnsi="Times New Roman"/>
          <w:b w:val="0"/>
          <w:color w:val="000000"/>
          <w:sz w:val="24"/>
        </w:rPr>
        <w:t>Full data documentation is maintained through three artefacts. First, the data generation script (src/data_generator.py) provides a transparent, annotated record of every distributional assumption, parameter value, and calibration target used to produce the dataset. Second, the variable dictionary in Table 3.3 above provides a complete data dictionary covering variable names, types, value ranges, and descriptive statistics. Third, the master dataset is persisted in the project directory as data/kyc_financial_exclusion_zimbabwe.csv, and the FERI-augmented version as data/kyc_with_feri.csv, both in comma-separated format suitable for third-party inspection and replication.</w:t>
      </w:r>
    </w:p>
    <w:p>
      <w:pPr>
        <w:spacing w:before="240" w:after="120" w:line="360" w:lineRule="exact"/>
        <w:jc w:val="left"/>
      </w:pPr>
      <w:r>
        <w:rPr>
          <w:rFonts w:ascii="Times New Roman" w:hAnsi="Times New Roman"/>
          <w:b/>
          <w:color w:val="000000"/>
          <w:sz w:val="24"/>
        </w:rPr>
        <w:t>3.4.11 Data Versioning and Storage</w:t>
      </w:r>
    </w:p>
    <w:p>
      <w:pPr>
        <w:spacing w:before="0" w:after="120" w:line="360" w:lineRule="exact"/>
        <w:jc w:val="both"/>
      </w:pPr>
      <w:r>
        <w:rPr>
          <w:rFonts w:ascii="Times New Roman" w:hAnsi="Times New Roman"/>
          <w:b w:val="0"/>
          <w:color w:val="000000"/>
          <w:sz w:val="24"/>
        </w:rPr>
        <w:t>Data reproducibility is guaranteed through the use of a fixed random seed (seed = 42) in the numpy default_rng generator, ensuring that the identical dataset is regenerated on any execution of the pipeline. All outputs, including model artefacts, performance comparison tables, FERI summary files, and visualisation figures, are written to a structured outputs/ directory with consistent, descriptive filenames. The full analytical pipeline is encapsulated in main.py, enabling end-to-end reproduction of all results from a single command. An interactive Jupyter notebook (KYC_Financial_Exclusion_Zimbabwe.ipynb) provides narrative-annotated reproduction of the analysis for peer review and supervision purposes.</w:t>
      </w:r>
    </w:p>
    <w:p>
      <w:pPr>
        <w:spacing w:before="240" w:after="120" w:line="420" w:lineRule="exact"/>
        <w:jc w:val="left"/>
      </w:pPr>
      <w:r>
        <w:rPr>
          <w:rFonts w:ascii="Times New Roman" w:hAnsi="Times New Roman"/>
          <w:b/>
          <w:color w:val="000000"/>
          <w:sz w:val="28"/>
        </w:rPr>
        <w:t>3.5 Model Selection</w:t>
      </w:r>
    </w:p>
    <w:p>
      <w:pPr>
        <w:spacing w:before="0" w:after="120" w:line="360" w:lineRule="exact"/>
        <w:jc w:val="both"/>
      </w:pPr>
      <w:r>
        <w:rPr>
          <w:rFonts w:ascii="Times New Roman" w:hAnsi="Times New Roman"/>
          <w:b w:val="0"/>
          <w:color w:val="000000"/>
          <w:sz w:val="24"/>
        </w:rPr>
        <w:t>Three supervised classification algorithms were selected for this study: Logistic Regression, Random Forest, and Gradient Boosting (XGBoost). The selection reflects three complementary principles: methodological diversity, interpretive transparency, and empirical precedent in comparable studies. The models span the spectrum from a linear, parametric classifier to non-parametric ensemble methods, ensuring that the conclusions drawn about relative model performance reflect genuine differences in algorithmic capacity rather than artefacts of a single model family.</w:t>
      </w:r>
    </w:p>
    <w:p>
      <w:pPr>
        <w:spacing w:before="0" w:after="120" w:line="360" w:lineRule="exact"/>
        <w:jc w:val="both"/>
      </w:pPr>
      <w:r>
        <w:rPr>
          <w:rFonts w:ascii="Times New Roman" w:hAnsi="Times New Roman"/>
          <w:b w:val="0"/>
          <w:color w:val="000000"/>
          <w:sz w:val="24"/>
        </w:rPr>
        <w:t>Logistic Regression was selected as the interpretive baseline. As a generalised linear model, it produces coefficient estimates that are directly interpretable in terms of log-odds, allowing the marginal contribution of each KYC variable to exclusion risk to be quantified and communicated to non-technical policy stakeholders (Hosmer and Lemeshow, 2013). It has been widely used in financial inclusion research and regulatory compliance modelling as an auditable, transparent classifier. The model was configured with L-BFGS solver, balanced class weights, and a regularisation parameter C = 1.0, with a maximum of 1,000 iterations to ensure convergence.</w:t>
      </w:r>
    </w:p>
    <w:p>
      <w:pPr>
        <w:spacing w:before="0" w:after="120" w:line="360" w:lineRule="exact"/>
        <w:jc w:val="both"/>
      </w:pPr>
      <w:r>
        <w:rPr>
          <w:rFonts w:ascii="Times New Roman" w:hAnsi="Times New Roman"/>
          <w:b w:val="0"/>
          <w:color w:val="000000"/>
          <w:sz w:val="24"/>
        </w:rPr>
        <w:t>Random Forest was selected as the primary ensemble method. As a bagging ensemble of decision trees, it is robust to overfitting, handles mixed feature types effectively, and provides feature importance estimates through mean decrease in impurity (Breiman, 2001). Its non-parametric character means that it does not assume linearity in the relationship between KYC features and exclusion risk — an important consideration given the complex interaction patterns between documentation status, income, location, and employment sector suggested by the literature. The model was configured with 200 estimators, a maximum depth of 8, minimum 10 samples per leaf, and balanced class weights.</w:t>
      </w:r>
    </w:p>
    <w:p>
      <w:pPr>
        <w:spacing w:before="0" w:after="120" w:line="360" w:lineRule="exact"/>
        <w:jc w:val="both"/>
      </w:pPr>
      <w:r>
        <w:rPr>
          <w:rFonts w:ascii="Times New Roman" w:hAnsi="Times New Roman"/>
          <w:b w:val="0"/>
          <w:color w:val="000000"/>
          <w:sz w:val="24"/>
        </w:rPr>
        <w:t>XGBoost (eXtreme Gradient Boosting) was selected as the gradient boosting comparator. Gradient boosting constructs an additive ensemble by sequentially training shallow trees to correct the residual errors of preceding trees, typically achieving superior predictive performance to bagging ensembles on structured tabular data (Chen and Guestrin, 2016). XGBoost's regularisation mechanisms — row subsampling (0.8) and column subsampling (0.8) — reduce overfitting risk. The model was trained with a learning rate of 0.05, maximum depth of 5, and 200 estimators.</w:t>
      </w:r>
    </w:p>
    <w:p>
      <w:pPr>
        <w:jc w:val="left"/>
      </w:pPr>
      <w:r>
        <w:rPr>
          <w:rFonts w:ascii="Times New Roman" w:hAnsi="Times New Roman"/>
          <w:b/>
          <w:color w:val="000000"/>
          <w:sz w:val="20"/>
        </w:rPr>
        <w:t>Table 3.4: Model configurations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color w:val="000000"/>
                <w:sz w:val="20"/>
              </w:rPr>
              <w:t>Model</w:t>
            </w:r>
          </w:p>
        </w:tc>
        <w:tc>
          <w:tcPr>
            <w:tcW w:type="dxa" w:w="2340"/>
          </w:tcPr>
          <w:p>
            <w:pPr>
              <w:jc w:val="center"/>
            </w:pPr>
            <w:r>
              <w:rPr>
                <w:rFonts w:ascii="Times New Roman" w:hAnsi="Times New Roman"/>
                <w:b/>
                <w:color w:val="000000"/>
                <w:sz w:val="20"/>
              </w:rPr>
              <w:t>Algorithm Family</w:t>
            </w:r>
          </w:p>
        </w:tc>
        <w:tc>
          <w:tcPr>
            <w:tcW w:type="dxa" w:w="2340"/>
          </w:tcPr>
          <w:p>
            <w:pPr>
              <w:jc w:val="center"/>
            </w:pPr>
            <w:r>
              <w:rPr>
                <w:rFonts w:ascii="Times New Roman" w:hAnsi="Times New Roman"/>
                <w:b/>
                <w:color w:val="000000"/>
                <w:sz w:val="20"/>
              </w:rPr>
              <w:t>Key Hyperparameters</w:t>
            </w:r>
          </w:p>
        </w:tc>
        <w:tc>
          <w:tcPr>
            <w:tcW w:type="dxa" w:w="2340"/>
          </w:tcPr>
          <w:p>
            <w:pPr>
              <w:jc w:val="center"/>
            </w:pPr>
            <w:r>
              <w:rPr>
                <w:rFonts w:ascii="Times New Roman" w:hAnsi="Times New Roman"/>
                <w:b/>
                <w:color w:val="000000"/>
                <w:sz w:val="20"/>
              </w:rPr>
              <w:t>Justification</w:t>
            </w:r>
          </w:p>
        </w:tc>
      </w:tr>
      <w:tr>
        <w:tc>
          <w:tcPr>
            <w:tcW w:type="dxa" w:w="2340"/>
          </w:tcPr>
          <w:p>
            <w:pPr>
              <w:jc w:val="center"/>
            </w:pPr>
            <w:r>
              <w:rPr>
                <w:rFonts w:ascii="Times New Roman" w:hAnsi="Times New Roman"/>
                <w:b w:val="0"/>
                <w:color w:val="000000"/>
                <w:sz w:val="20"/>
              </w:rPr>
              <w:t>Logistic Regression</w:t>
            </w:r>
          </w:p>
        </w:tc>
        <w:tc>
          <w:tcPr>
            <w:tcW w:type="dxa" w:w="2340"/>
          </w:tcPr>
          <w:p>
            <w:pPr>
              <w:jc w:val="center"/>
            </w:pPr>
            <w:r>
              <w:rPr>
                <w:rFonts w:ascii="Times New Roman" w:hAnsi="Times New Roman"/>
                <w:b w:val="0"/>
                <w:color w:val="000000"/>
                <w:sz w:val="20"/>
              </w:rPr>
              <w:t>Linear / Parametric</w:t>
            </w:r>
          </w:p>
        </w:tc>
        <w:tc>
          <w:tcPr>
            <w:tcW w:type="dxa" w:w="2340"/>
          </w:tcPr>
          <w:p>
            <w:pPr>
              <w:jc w:val="center"/>
            </w:pPr>
            <w:r>
              <w:rPr>
                <w:rFonts w:ascii="Times New Roman" w:hAnsi="Times New Roman"/>
                <w:b w:val="0"/>
                <w:color w:val="000000"/>
                <w:sz w:val="20"/>
              </w:rPr>
              <w:t>solver=lbfgs, C=1.0, class_weight=balanced, max_iter=1000</w:t>
            </w:r>
          </w:p>
        </w:tc>
        <w:tc>
          <w:tcPr>
            <w:tcW w:type="dxa" w:w="2340"/>
          </w:tcPr>
          <w:p>
            <w:pPr>
              <w:jc w:val="center"/>
            </w:pPr>
            <w:r>
              <w:rPr>
                <w:rFonts w:ascii="Times New Roman" w:hAnsi="Times New Roman"/>
                <w:b w:val="0"/>
                <w:color w:val="000000"/>
                <w:sz w:val="20"/>
              </w:rPr>
              <w:t>Interpretable baseline; policy-communicable coefficients</w:t>
            </w:r>
          </w:p>
        </w:tc>
      </w:tr>
      <w:tr>
        <w:tc>
          <w:tcPr>
            <w:tcW w:type="dxa" w:w="2340"/>
          </w:tcPr>
          <w:p>
            <w:pPr>
              <w:jc w:val="center"/>
            </w:pPr>
            <w:r>
              <w:rPr>
                <w:rFonts w:ascii="Times New Roman" w:hAnsi="Times New Roman"/>
                <w:b w:val="0"/>
                <w:color w:val="000000"/>
                <w:sz w:val="20"/>
              </w:rPr>
              <w:t>Random Forest</w:t>
            </w:r>
          </w:p>
        </w:tc>
        <w:tc>
          <w:tcPr>
            <w:tcW w:type="dxa" w:w="2340"/>
          </w:tcPr>
          <w:p>
            <w:pPr>
              <w:jc w:val="center"/>
            </w:pPr>
            <w:r>
              <w:rPr>
                <w:rFonts w:ascii="Times New Roman" w:hAnsi="Times New Roman"/>
                <w:b w:val="0"/>
                <w:color w:val="000000"/>
                <w:sz w:val="20"/>
              </w:rPr>
              <w:t>Bagging Ensemble</w:t>
            </w:r>
          </w:p>
        </w:tc>
        <w:tc>
          <w:tcPr>
            <w:tcW w:type="dxa" w:w="2340"/>
          </w:tcPr>
          <w:p>
            <w:pPr>
              <w:jc w:val="center"/>
            </w:pPr>
            <w:r>
              <w:rPr>
                <w:rFonts w:ascii="Times New Roman" w:hAnsi="Times New Roman"/>
                <w:b w:val="0"/>
                <w:color w:val="000000"/>
                <w:sz w:val="20"/>
              </w:rPr>
              <w:t>n_estimators=200, max_depth=8, min_samples_leaf=10, class_weight=balanced</w:t>
            </w:r>
          </w:p>
        </w:tc>
        <w:tc>
          <w:tcPr>
            <w:tcW w:type="dxa" w:w="2340"/>
          </w:tcPr>
          <w:p>
            <w:pPr>
              <w:jc w:val="center"/>
            </w:pPr>
            <w:r>
              <w:rPr>
                <w:rFonts w:ascii="Times New Roman" w:hAnsi="Times New Roman"/>
                <w:b w:val="0"/>
                <w:color w:val="000000"/>
                <w:sz w:val="20"/>
              </w:rPr>
              <w:t>Robust to overfitting; handles nonlinearity and interactions</w:t>
            </w:r>
          </w:p>
        </w:tc>
      </w:tr>
      <w:tr>
        <w:tc>
          <w:tcPr>
            <w:tcW w:type="dxa" w:w="2340"/>
          </w:tcPr>
          <w:p>
            <w:pPr>
              <w:jc w:val="center"/>
            </w:pPr>
            <w:r>
              <w:rPr>
                <w:rFonts w:ascii="Times New Roman" w:hAnsi="Times New Roman"/>
                <w:b w:val="0"/>
                <w:color w:val="000000"/>
                <w:sz w:val="20"/>
              </w:rPr>
              <w:t>XGBoost</w:t>
            </w:r>
          </w:p>
        </w:tc>
        <w:tc>
          <w:tcPr>
            <w:tcW w:type="dxa" w:w="2340"/>
          </w:tcPr>
          <w:p>
            <w:pPr>
              <w:jc w:val="center"/>
            </w:pPr>
            <w:r>
              <w:rPr>
                <w:rFonts w:ascii="Times New Roman" w:hAnsi="Times New Roman"/>
                <w:b w:val="0"/>
                <w:color w:val="000000"/>
                <w:sz w:val="20"/>
              </w:rPr>
              <w:t>Boosting Ensemble</w:t>
            </w:r>
          </w:p>
        </w:tc>
        <w:tc>
          <w:tcPr>
            <w:tcW w:type="dxa" w:w="2340"/>
          </w:tcPr>
          <w:p>
            <w:pPr>
              <w:jc w:val="center"/>
            </w:pPr>
            <w:r>
              <w:rPr>
                <w:rFonts w:ascii="Times New Roman" w:hAnsi="Times New Roman"/>
                <w:b w:val="0"/>
                <w:color w:val="000000"/>
                <w:sz w:val="20"/>
              </w:rPr>
              <w:t>n_estimators=200, max_depth=5, lr=0.05, subsample=0.8, colsample=0.8</w:t>
            </w:r>
          </w:p>
        </w:tc>
        <w:tc>
          <w:tcPr>
            <w:tcW w:type="dxa" w:w="2340"/>
          </w:tcPr>
          <w:p>
            <w:pPr>
              <w:jc w:val="center"/>
            </w:pPr>
            <w:r>
              <w:rPr>
                <w:rFonts w:ascii="Times New Roman" w:hAnsi="Times New Roman"/>
                <w:b w:val="0"/>
                <w:color w:val="000000"/>
                <w:sz w:val="20"/>
              </w:rPr>
              <w:t>State-of-the-art on tabular data; built-in regularisation</w:t>
            </w:r>
          </w:p>
        </w:tc>
      </w:tr>
    </w:tbl>
    <w:p/>
    <w:p>
      <w:pPr>
        <w:spacing w:before="240" w:after="120" w:line="420" w:lineRule="exact"/>
        <w:jc w:val="left"/>
      </w:pPr>
      <w:r>
        <w:rPr>
          <w:rFonts w:ascii="Times New Roman" w:hAnsi="Times New Roman"/>
          <w:b/>
          <w:color w:val="000000"/>
          <w:sz w:val="28"/>
        </w:rPr>
        <w:t>3.6 Model Training and Evaluation</w:t>
      </w:r>
    </w:p>
    <w:p>
      <w:pPr>
        <w:spacing w:before="0" w:after="120" w:line="360" w:lineRule="exact"/>
        <w:jc w:val="both"/>
      </w:pPr>
      <w:r>
        <w:rPr>
          <w:rFonts w:ascii="Times New Roman" w:hAnsi="Times New Roman"/>
          <w:b w:val="0"/>
          <w:color w:val="000000"/>
          <w:sz w:val="24"/>
        </w:rPr>
        <w:t>All three models were trained on the SMOTE-balanced training set (n = 5,092; 2,546 per class) using scikit-learn's unified fit() API for Logistic Regression and Random Forest, and XGBoost's native Python API for the gradient boosting classifier. Training was conducted on a deterministic basis using random_state = 42 throughout, ensuring reproducibility of all model artefacts and evaluation outputs.</w:t>
      </w:r>
    </w:p>
    <w:p>
      <w:pPr>
        <w:spacing w:before="0" w:after="120" w:line="360" w:lineRule="exact"/>
        <w:jc w:val="both"/>
      </w:pPr>
      <w:r>
        <w:rPr>
          <w:rFonts w:ascii="Times New Roman" w:hAnsi="Times New Roman"/>
          <w:b w:val="0"/>
          <w:color w:val="000000"/>
          <w:sz w:val="24"/>
        </w:rPr>
        <w:t>Model evaluation was conducted on the held-out test set (n = 1,000), which was not exposed to SMOTE augmentation and retains the natural 63.6/36.4 class split of the population. Five evaluation metrics were computed for each model: accuracy, Area Under the Receiver Operating Characteristic curve (ROC-AUC), F1-score, precision, and recall. ROC-AUC is treated as the primary performance metric for this study, as it measures discriminative ability across all classification thresholds and is robust to class imbalance — a property that accuracy, which can be inflated by majority-class performance, does not share. F1-score is the secondary metric of interest, as it balances the trade-off between precision and recall that is particularly policy-relevant in this context: false negatives (excluded individuals classified as included) represent missed intervention opportunities, while false positives carry the risk of misallocating support resources.</w:t>
      </w:r>
    </w:p>
    <w:p>
      <w:pPr>
        <w:jc w:val="left"/>
      </w:pPr>
      <w:r>
        <w:rPr>
          <w:rFonts w:ascii="Times New Roman" w:hAnsi="Times New Roman"/>
          <w:b/>
          <w:color w:val="000000"/>
          <w:sz w:val="20"/>
        </w:rPr>
        <w:t>Table 3.5: Model performance on held-out test set (n = 1,000)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color w:val="000000"/>
                <w:sz w:val="20"/>
              </w:rPr>
              <w:t>Model</w:t>
            </w:r>
          </w:p>
        </w:tc>
        <w:tc>
          <w:tcPr>
            <w:tcW w:type="dxa" w:w="1560"/>
          </w:tcPr>
          <w:p>
            <w:pPr>
              <w:jc w:val="center"/>
            </w:pPr>
            <w:r>
              <w:rPr>
                <w:rFonts w:ascii="Times New Roman" w:hAnsi="Times New Roman"/>
                <w:b/>
                <w:color w:val="000000"/>
                <w:sz w:val="20"/>
              </w:rPr>
              <w:t>Accuracy</w:t>
            </w:r>
          </w:p>
        </w:tc>
        <w:tc>
          <w:tcPr>
            <w:tcW w:type="dxa" w:w="1560"/>
          </w:tcPr>
          <w:p>
            <w:pPr>
              <w:jc w:val="center"/>
            </w:pPr>
            <w:r>
              <w:rPr>
                <w:rFonts w:ascii="Times New Roman" w:hAnsi="Times New Roman"/>
                <w:b/>
                <w:color w:val="000000"/>
                <w:sz w:val="20"/>
              </w:rPr>
              <w:t>ROC-AUC</w:t>
            </w:r>
          </w:p>
        </w:tc>
        <w:tc>
          <w:tcPr>
            <w:tcW w:type="dxa" w:w="1560"/>
          </w:tcPr>
          <w:p>
            <w:pPr>
              <w:jc w:val="center"/>
            </w:pPr>
            <w:r>
              <w:rPr>
                <w:rFonts w:ascii="Times New Roman" w:hAnsi="Times New Roman"/>
                <w:b/>
                <w:color w:val="000000"/>
                <w:sz w:val="20"/>
              </w:rPr>
              <w:t>F1-Score</w:t>
            </w:r>
          </w:p>
        </w:tc>
        <w:tc>
          <w:tcPr>
            <w:tcW w:type="dxa" w:w="1560"/>
          </w:tcPr>
          <w:p>
            <w:pPr>
              <w:jc w:val="center"/>
            </w:pPr>
            <w:r>
              <w:rPr>
                <w:rFonts w:ascii="Times New Roman" w:hAnsi="Times New Roman"/>
                <w:b/>
                <w:color w:val="000000"/>
                <w:sz w:val="20"/>
              </w:rPr>
              <w:t>Precision</w:t>
            </w:r>
          </w:p>
        </w:tc>
        <w:tc>
          <w:tcPr>
            <w:tcW w:type="dxa" w:w="1560"/>
          </w:tcPr>
          <w:p>
            <w:pPr>
              <w:jc w:val="center"/>
            </w:pPr>
            <w:r>
              <w:rPr>
                <w:rFonts w:ascii="Times New Roman" w:hAnsi="Times New Roman"/>
                <w:b/>
                <w:color w:val="000000"/>
                <w:sz w:val="20"/>
              </w:rPr>
              <w:t>Recall</w:t>
            </w:r>
          </w:p>
        </w:tc>
      </w:tr>
      <w:tr>
        <w:tc>
          <w:tcPr>
            <w:tcW w:type="dxa" w:w="1560"/>
          </w:tcPr>
          <w:p>
            <w:pPr>
              <w:jc w:val="center"/>
            </w:pPr>
            <w:r>
              <w:rPr>
                <w:rFonts w:ascii="Times New Roman" w:hAnsi="Times New Roman"/>
                <w:b w:val="0"/>
                <w:color w:val="000000"/>
                <w:sz w:val="20"/>
              </w:rPr>
              <w:t>Logistic Regression</w:t>
            </w:r>
          </w:p>
        </w:tc>
        <w:tc>
          <w:tcPr>
            <w:tcW w:type="dxa" w:w="1560"/>
          </w:tcPr>
          <w:p>
            <w:pPr>
              <w:jc w:val="center"/>
            </w:pPr>
            <w:r>
              <w:rPr>
                <w:rFonts w:ascii="Times New Roman" w:hAnsi="Times New Roman"/>
                <w:b w:val="0"/>
                <w:color w:val="000000"/>
                <w:sz w:val="20"/>
              </w:rPr>
              <w:t>0.772</w:t>
            </w:r>
          </w:p>
        </w:tc>
        <w:tc>
          <w:tcPr>
            <w:tcW w:type="dxa" w:w="1560"/>
          </w:tcPr>
          <w:p>
            <w:pPr>
              <w:jc w:val="center"/>
            </w:pPr>
            <w:r>
              <w:rPr>
                <w:rFonts w:ascii="Times New Roman" w:hAnsi="Times New Roman"/>
                <w:b w:val="0"/>
                <w:color w:val="000000"/>
                <w:sz w:val="20"/>
              </w:rPr>
              <w:t>0.8485</w:t>
            </w:r>
          </w:p>
        </w:tc>
        <w:tc>
          <w:tcPr>
            <w:tcW w:type="dxa" w:w="1560"/>
          </w:tcPr>
          <w:p>
            <w:pPr>
              <w:jc w:val="center"/>
            </w:pPr>
            <w:r>
              <w:rPr>
                <w:rFonts w:ascii="Times New Roman" w:hAnsi="Times New Roman"/>
                <w:b w:val="0"/>
                <w:color w:val="000000"/>
                <w:sz w:val="20"/>
              </w:rPr>
              <w:t>0.700</w:t>
            </w:r>
          </w:p>
        </w:tc>
        <w:tc>
          <w:tcPr>
            <w:tcW w:type="dxa" w:w="1560"/>
          </w:tcPr>
          <w:p>
            <w:pPr>
              <w:jc w:val="center"/>
            </w:pPr>
            <w:r>
              <w:rPr>
                <w:rFonts w:ascii="Times New Roman" w:hAnsi="Times New Roman"/>
                <w:b w:val="0"/>
                <w:color w:val="000000"/>
                <w:sz w:val="20"/>
              </w:rPr>
              <w:t>0.672</w:t>
            </w:r>
          </w:p>
        </w:tc>
        <w:tc>
          <w:tcPr>
            <w:tcW w:type="dxa" w:w="1560"/>
          </w:tcPr>
          <w:p>
            <w:pPr>
              <w:jc w:val="center"/>
            </w:pPr>
            <w:r>
              <w:rPr>
                <w:rFonts w:ascii="Times New Roman" w:hAnsi="Times New Roman"/>
                <w:b w:val="0"/>
                <w:color w:val="000000"/>
                <w:sz w:val="20"/>
              </w:rPr>
              <w:t>0.731</w:t>
            </w:r>
          </w:p>
        </w:tc>
      </w:tr>
      <w:tr>
        <w:tc>
          <w:tcPr>
            <w:tcW w:type="dxa" w:w="1560"/>
          </w:tcPr>
          <w:p>
            <w:pPr>
              <w:jc w:val="center"/>
            </w:pPr>
            <w:r>
              <w:rPr>
                <w:rFonts w:ascii="Times New Roman" w:hAnsi="Times New Roman"/>
                <w:b w:val="0"/>
                <w:color w:val="000000"/>
                <w:sz w:val="20"/>
              </w:rPr>
              <w:t>Random Forest</w:t>
            </w:r>
          </w:p>
        </w:tc>
        <w:tc>
          <w:tcPr>
            <w:tcW w:type="dxa" w:w="1560"/>
          </w:tcPr>
          <w:p>
            <w:pPr>
              <w:jc w:val="center"/>
            </w:pPr>
            <w:r>
              <w:rPr>
                <w:rFonts w:ascii="Times New Roman" w:hAnsi="Times New Roman"/>
                <w:b w:val="0"/>
                <w:color w:val="000000"/>
                <w:sz w:val="20"/>
              </w:rPr>
              <w:t>0.774</w:t>
            </w:r>
          </w:p>
        </w:tc>
        <w:tc>
          <w:tcPr>
            <w:tcW w:type="dxa" w:w="1560"/>
          </w:tcPr>
          <w:p>
            <w:pPr>
              <w:jc w:val="center"/>
            </w:pPr>
            <w:r>
              <w:rPr>
                <w:rFonts w:ascii="Times New Roman" w:hAnsi="Times New Roman"/>
                <w:b w:val="0"/>
                <w:color w:val="000000"/>
                <w:sz w:val="20"/>
              </w:rPr>
              <w:t>0.8431</w:t>
            </w:r>
          </w:p>
        </w:tc>
        <w:tc>
          <w:tcPr>
            <w:tcW w:type="dxa" w:w="1560"/>
          </w:tcPr>
          <w:p>
            <w:pPr>
              <w:jc w:val="center"/>
            </w:pPr>
            <w:r>
              <w:rPr>
                <w:rFonts w:ascii="Times New Roman" w:hAnsi="Times New Roman"/>
                <w:b w:val="0"/>
                <w:color w:val="000000"/>
                <w:sz w:val="20"/>
              </w:rPr>
              <w:t>0.698</w:t>
            </w:r>
          </w:p>
        </w:tc>
        <w:tc>
          <w:tcPr>
            <w:tcW w:type="dxa" w:w="1560"/>
          </w:tcPr>
          <w:p>
            <w:pPr>
              <w:jc w:val="center"/>
            </w:pPr>
            <w:r>
              <w:rPr>
                <w:rFonts w:ascii="Times New Roman" w:hAnsi="Times New Roman"/>
                <w:b w:val="0"/>
                <w:color w:val="000000"/>
                <w:sz w:val="20"/>
              </w:rPr>
              <w:t>0.680</w:t>
            </w:r>
          </w:p>
        </w:tc>
        <w:tc>
          <w:tcPr>
            <w:tcW w:type="dxa" w:w="1560"/>
          </w:tcPr>
          <w:p>
            <w:pPr>
              <w:jc w:val="center"/>
            </w:pPr>
            <w:r>
              <w:rPr>
                <w:rFonts w:ascii="Times New Roman" w:hAnsi="Times New Roman"/>
                <w:b w:val="0"/>
                <w:color w:val="000000"/>
                <w:sz w:val="20"/>
              </w:rPr>
              <w:t>0.717</w:t>
            </w:r>
          </w:p>
        </w:tc>
      </w:tr>
      <w:tr>
        <w:tc>
          <w:tcPr>
            <w:tcW w:type="dxa" w:w="1560"/>
          </w:tcPr>
          <w:p>
            <w:pPr>
              <w:jc w:val="center"/>
            </w:pPr>
            <w:r>
              <w:rPr>
                <w:rFonts w:ascii="Times New Roman" w:hAnsi="Times New Roman"/>
                <w:b w:val="0"/>
                <w:color w:val="000000"/>
                <w:sz w:val="20"/>
              </w:rPr>
              <w:t>Gradient Boosting</w:t>
            </w:r>
          </w:p>
        </w:tc>
        <w:tc>
          <w:tcPr>
            <w:tcW w:type="dxa" w:w="1560"/>
          </w:tcPr>
          <w:p>
            <w:pPr>
              <w:jc w:val="center"/>
            </w:pPr>
            <w:r>
              <w:rPr>
                <w:rFonts w:ascii="Times New Roman" w:hAnsi="Times New Roman"/>
                <w:b w:val="0"/>
                <w:color w:val="000000"/>
                <w:sz w:val="20"/>
              </w:rPr>
              <w:t>0.768</w:t>
            </w:r>
          </w:p>
        </w:tc>
        <w:tc>
          <w:tcPr>
            <w:tcW w:type="dxa" w:w="1560"/>
          </w:tcPr>
          <w:p>
            <w:pPr>
              <w:jc w:val="center"/>
            </w:pPr>
            <w:r>
              <w:rPr>
                <w:rFonts w:ascii="Times New Roman" w:hAnsi="Times New Roman"/>
                <w:b w:val="0"/>
                <w:color w:val="000000"/>
                <w:sz w:val="20"/>
              </w:rPr>
              <w:t>0.8319</w:t>
            </w:r>
          </w:p>
        </w:tc>
        <w:tc>
          <w:tcPr>
            <w:tcW w:type="dxa" w:w="1560"/>
          </w:tcPr>
          <w:p>
            <w:pPr>
              <w:jc w:val="center"/>
            </w:pPr>
            <w:r>
              <w:rPr>
                <w:rFonts w:ascii="Times New Roman" w:hAnsi="Times New Roman"/>
                <w:b w:val="0"/>
                <w:color w:val="000000"/>
                <w:sz w:val="20"/>
              </w:rPr>
              <w:t>0.663</w:t>
            </w:r>
          </w:p>
        </w:tc>
        <w:tc>
          <w:tcPr>
            <w:tcW w:type="dxa" w:w="1560"/>
          </w:tcPr>
          <w:p>
            <w:pPr>
              <w:jc w:val="center"/>
            </w:pPr>
            <w:r>
              <w:rPr>
                <w:rFonts w:ascii="Times New Roman" w:hAnsi="Times New Roman"/>
                <w:b w:val="0"/>
                <w:color w:val="000000"/>
                <w:sz w:val="20"/>
              </w:rPr>
              <w:t>0.704</w:t>
            </w:r>
          </w:p>
        </w:tc>
        <w:tc>
          <w:tcPr>
            <w:tcW w:type="dxa" w:w="1560"/>
          </w:tcPr>
          <w:p>
            <w:pPr>
              <w:jc w:val="center"/>
            </w:pPr>
            <w:r>
              <w:rPr>
                <w:rFonts w:ascii="Times New Roman" w:hAnsi="Times New Roman"/>
                <w:b w:val="0"/>
                <w:color w:val="000000"/>
                <w:sz w:val="20"/>
              </w:rPr>
              <w:t>0.626</w:t>
            </w:r>
          </w:p>
        </w:tc>
      </w:tr>
    </w:tbl>
    <w:p/>
    <w:p>
      <w:pPr>
        <w:spacing w:before="0" w:after="120" w:line="360" w:lineRule="exact"/>
        <w:jc w:val="both"/>
      </w:pPr>
      <w:r>
        <w:rPr>
          <w:rFonts w:ascii="Times New Roman" w:hAnsi="Times New Roman"/>
          <w:b w:val="0"/>
          <w:color w:val="000000"/>
          <w:sz w:val="24"/>
        </w:rPr>
        <w:t>Feature importance was extracted for all three models using model-native methods: absolute coefficient magnitudes for Logistic Regression, mean decrease in impurity for Random Forest, and gain-based importance for XGBoost. Feature importance outputs were persisted as outputs/feature_importance_lr.csv, _rf.csv, and _gb.csv respectively, and visualised as ranked bar charts in outputs/figures/. These outputs form the analytical foundation for the feature importance discussion in Chapter 4.</w:t>
      </w:r>
    </w:p>
    <w:p>
      <w:pPr>
        <w:spacing w:before="240" w:after="120" w:line="420" w:lineRule="exact"/>
        <w:jc w:val="left"/>
      </w:pPr>
      <w:r>
        <w:rPr>
          <w:rFonts w:ascii="Times New Roman" w:hAnsi="Times New Roman"/>
          <w:b/>
          <w:color w:val="000000"/>
          <w:sz w:val="28"/>
        </w:rPr>
        <w:t>3.7 Model Tuning and Optimisation</w:t>
      </w:r>
    </w:p>
    <w:p>
      <w:pPr>
        <w:spacing w:before="0" w:after="120" w:line="360" w:lineRule="exact"/>
        <w:jc w:val="both"/>
      </w:pPr>
      <w:r>
        <w:rPr>
          <w:rFonts w:ascii="Times New Roman" w:hAnsi="Times New Roman"/>
          <w:b w:val="0"/>
          <w:color w:val="000000"/>
          <w:sz w:val="24"/>
        </w:rPr>
        <w:t>The hyperparameter configurations applied in this study were determined through a combination of domain knowledge, published empirical guidelines for each algorithm, and preliminary exploratory training runs rather than exhaustive grid search. This approach was deliberately chosen in preference to automated hyperparameter optimisation such as GridSearchCV or Bayesian optimisation for two reasons. First, the primary research question concerns the relative contribution of KYC variables to financial exclusion — an explanatory objective that does not require the marginal accuracy gains that intensive tuning would produce. Second, the dataset size (n = 5,000) and feature count (28) are modest, meaning that well-configured standard settings are unlikely to leave substantial performance on the table.</w:t>
      </w:r>
    </w:p>
    <w:p>
      <w:pPr>
        <w:spacing w:before="0" w:after="120" w:line="360" w:lineRule="exact"/>
        <w:jc w:val="both"/>
      </w:pPr>
      <w:r>
        <w:rPr>
          <w:rFonts w:ascii="Times New Roman" w:hAnsi="Times New Roman"/>
          <w:b w:val="0"/>
          <w:color w:val="000000"/>
          <w:sz w:val="24"/>
        </w:rPr>
        <w:t>The Logistic Regression regularisation parameter C = 1.0 represents the scikit-learn default, providing moderate L2 regularisation appropriate to a 28-feature space. The Random Forest configuration of 200 estimators and maximum depth 8 follows the widely cited guidance of Oshiro et al. (2012), who find that forests stabilise beyond approximately 128 trees. The minimum leaf size of 10 was set to prevent the model from overfitting to very small subgroups in the training data. The XGBoost learning rate of 0.05, combined with 200 estimators, implements the low-learning-rate, many-trees principle that Chen and Guestrin (2016) identify as the primary driver of XGBoost's performance advantage. Balanced class weights in Logistic Regression and Random Forest are equivalent in effect to SMOTE for those models, providing a robustness check on the class balancing approach.</w:t>
      </w:r>
    </w:p>
    <w:p>
      <w:pPr>
        <w:spacing w:before="240" w:after="120" w:line="420" w:lineRule="exact"/>
        <w:jc w:val="left"/>
      </w:pPr>
      <w:r>
        <w:rPr>
          <w:rFonts w:ascii="Times New Roman" w:hAnsi="Times New Roman"/>
          <w:b/>
          <w:color w:val="000000"/>
          <w:sz w:val="28"/>
        </w:rPr>
        <w:t>3.8 Model Validation and Testing</w:t>
      </w:r>
    </w:p>
    <w:p>
      <w:pPr>
        <w:spacing w:before="0" w:after="120" w:line="360" w:lineRule="exact"/>
        <w:jc w:val="both"/>
      </w:pPr>
      <w:r>
        <w:rPr>
          <w:rFonts w:ascii="Times New Roman" w:hAnsi="Times New Roman"/>
          <w:b w:val="0"/>
          <w:color w:val="000000"/>
          <w:sz w:val="24"/>
        </w:rPr>
        <w:t>Model validation was conducted using two complementary approaches: holdout test set evaluation and stratified k-fold cross-validation. The holdout test set evaluation, described in Section 3.6, provides a final, unbiased estimate of model performance on data that was entirely excluded from training and SMOTE augmentation. The stratified k-fold cross-validation (k = 5) was implemented using scikit-learn's StratifiedKFold class, which ensures that each fold preserves the class distribution of the full training set. Cross-validation was scored on ROC-AUC, providing a variance-adjusted estimate of discriminative performance that accounts for the sensitivity of model performance to the specific training-validation partition chosen.</w:t>
      </w:r>
    </w:p>
    <w:p>
      <w:pPr>
        <w:spacing w:before="0" w:after="120" w:line="360" w:lineRule="exact"/>
        <w:jc w:val="both"/>
      </w:pPr>
      <w:r>
        <w:rPr>
          <w:rFonts w:ascii="Times New Roman" w:hAnsi="Times New Roman"/>
          <w:b w:val="0"/>
          <w:color w:val="000000"/>
          <w:sz w:val="24"/>
        </w:rPr>
        <w:t>The holdout test set was drawn as a 20 per cent random stratified sample (n = 1,000) prior to any SMOTE augmentation, using scikit-learn's train_test_split with stratify=y and random_state = 42. This sequence — split first, then augment training only — is methodologically critical: augmenting before splitting would introduce synthetic near-duplicates of training observations into the test set, causing optimistic bias in all evaluation metrics (Blagus and Lusa, 2013). The reported metrics in Table 3.5 are therefore conservative estimates of out-of-sample performance on a realistically distributed test population.</w:t>
      </w:r>
    </w:p>
    <w:p>
      <w:pPr>
        <w:spacing w:before="240" w:after="120" w:line="420" w:lineRule="exact"/>
        <w:jc w:val="left"/>
      </w:pPr>
      <w:r>
        <w:rPr>
          <w:rFonts w:ascii="Times New Roman" w:hAnsi="Times New Roman"/>
          <w:b/>
          <w:color w:val="000000"/>
          <w:sz w:val="28"/>
        </w:rPr>
        <w:t>3.9 Statistical Analysis</w:t>
      </w:r>
    </w:p>
    <w:p>
      <w:pPr>
        <w:spacing w:before="0" w:after="120" w:line="360" w:lineRule="exact"/>
        <w:jc w:val="both"/>
      </w:pPr>
      <w:r>
        <w:rPr>
          <w:rFonts w:ascii="Times New Roman" w:hAnsi="Times New Roman"/>
          <w:b w:val="0"/>
          <w:color w:val="000000"/>
          <w:sz w:val="24"/>
        </w:rPr>
        <w:t>Descriptive statistical analysis was conducted to characterise the dataset and provide context for model interpretation. Summary statistics — means, standard deviations, quartiles, and frequency distributions — were computed for all 17 variables, with particular attention to the relationship between each KYC documentation variable and the exclusion outcome. The dataset recorded zero missing values across all variables, with numerical variables exhibiting plausible ranges consistent with the Zimbabwean population: mean age of 37.9 years (SD = 13.1), mean KYC documentation score of 2.52 out of a possible 4, and mean distance to the nearest bank branch of 11.2 km (SD = 17.4 km), reflecting the pronounced geographic disparity between urban and rural branch density.</w:t>
      </w:r>
    </w:p>
    <w:p>
      <w:pPr>
        <w:spacing w:before="0" w:after="120" w:line="360" w:lineRule="exact"/>
        <w:jc w:val="both"/>
      </w:pPr>
      <w:r>
        <w:rPr>
          <w:rFonts w:ascii="Times New Roman" w:hAnsi="Times New Roman"/>
          <w:b w:val="0"/>
          <w:color w:val="000000"/>
          <w:sz w:val="24"/>
        </w:rPr>
        <w:t>The FERI analysis constitutes the primary inferential statistical contribution of the study. Descriptive statistics of FERI scores were computed at the population level (mean = 30.83, median = 28.77, SD = 19.25) and disaggregated across 16 demographic subgroups to identify the groups most severely affected by KYC-driven exclusion risk. The distributional analysis of FERI risk bands — Low Risk (n = 2,156, 43.1%), Moderate Risk (n = 1,594, 31.9%), High Risk (n = 1,026, 20.5%), and Critical Risk (n = 224, 4.5%) — provides a policy-relevant segmentation of the population by intervention priority. Exclusion rate differentials across demographic groups were computed as percentage-point differences relative to the overall exclusion rate of 36.4 per cent, providing a quantitative basis for the policy recommendations in Chapter 5.</w:t>
      </w:r>
    </w:p>
    <w:p>
      <w:pPr>
        <w:spacing w:before="240" w:after="120" w:line="420" w:lineRule="exact"/>
        <w:jc w:val="left"/>
      </w:pPr>
      <w:r>
        <w:rPr>
          <w:rFonts w:ascii="Times New Roman" w:hAnsi="Times New Roman"/>
          <w:b/>
          <w:color w:val="000000"/>
          <w:sz w:val="28"/>
        </w:rPr>
        <w:t>3.10 Software and Tools</w:t>
      </w:r>
    </w:p>
    <w:p>
      <w:pPr>
        <w:spacing w:before="0" w:after="120" w:line="360" w:lineRule="exact"/>
        <w:jc w:val="both"/>
      </w:pPr>
      <w:r>
        <w:rPr>
          <w:rFonts w:ascii="Times New Roman" w:hAnsi="Times New Roman"/>
          <w:b w:val="0"/>
          <w:color w:val="000000"/>
          <w:sz w:val="24"/>
        </w:rPr>
        <w:t>The entire analytical pipeline was implemented in Python 3.14. The principal libraries employed and their specific roles are documented in Table 3.6. The choice of Python reflects its status as the dominant language for applied data science and machine learning research, its extensive ecosystem of peer-reviewed algorithmic implementations, and its suitability for the kind of reproducible, script-driven pipeline that this study's methodological requirements demand.</w:t>
      </w:r>
    </w:p>
    <w:p>
      <w:pPr>
        <w:jc w:val="left"/>
      </w:pPr>
      <w:r>
        <w:rPr>
          <w:rFonts w:ascii="Times New Roman" w:hAnsi="Times New Roman"/>
          <w:b/>
          <w:color w:val="000000"/>
          <w:sz w:val="20"/>
        </w:rPr>
        <w:t>Table 3.6: Software and library inventory</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color w:val="000000"/>
                <w:sz w:val="20"/>
              </w:rPr>
              <w:t>Library / Tool</w:t>
            </w:r>
          </w:p>
        </w:tc>
        <w:tc>
          <w:tcPr>
            <w:tcW w:type="dxa" w:w="3120"/>
          </w:tcPr>
          <w:p>
            <w:pPr>
              <w:jc w:val="center"/>
            </w:pPr>
            <w:r>
              <w:rPr>
                <w:rFonts w:ascii="Times New Roman" w:hAnsi="Times New Roman"/>
                <w:b/>
                <w:color w:val="000000"/>
                <w:sz w:val="20"/>
              </w:rPr>
              <w:t>Version</w:t>
            </w:r>
          </w:p>
        </w:tc>
        <w:tc>
          <w:tcPr>
            <w:tcW w:type="dxa" w:w="3120"/>
          </w:tcPr>
          <w:p>
            <w:pPr>
              <w:jc w:val="center"/>
            </w:pPr>
            <w:r>
              <w:rPr>
                <w:rFonts w:ascii="Times New Roman" w:hAnsi="Times New Roman"/>
                <w:b/>
                <w:color w:val="000000"/>
                <w:sz w:val="20"/>
              </w:rPr>
              <w:t>Role in Analysis</w:t>
            </w:r>
          </w:p>
        </w:tc>
      </w:tr>
      <w:tr>
        <w:tc>
          <w:tcPr>
            <w:tcW w:type="dxa" w:w="3120"/>
          </w:tcPr>
          <w:p>
            <w:pPr>
              <w:jc w:val="center"/>
            </w:pPr>
            <w:r>
              <w:rPr>
                <w:rFonts w:ascii="Times New Roman" w:hAnsi="Times New Roman"/>
                <w:b w:val="0"/>
                <w:color w:val="000000"/>
                <w:sz w:val="20"/>
              </w:rPr>
              <w:t>Python</w:t>
            </w:r>
          </w:p>
        </w:tc>
        <w:tc>
          <w:tcPr>
            <w:tcW w:type="dxa" w:w="3120"/>
          </w:tcPr>
          <w:p>
            <w:pPr>
              <w:jc w:val="center"/>
            </w:pPr>
            <w:r>
              <w:rPr>
                <w:rFonts w:ascii="Times New Roman" w:hAnsi="Times New Roman"/>
                <w:b w:val="0"/>
                <w:color w:val="000000"/>
                <w:sz w:val="20"/>
              </w:rPr>
              <w:t>3.14</w:t>
            </w:r>
          </w:p>
        </w:tc>
        <w:tc>
          <w:tcPr>
            <w:tcW w:type="dxa" w:w="3120"/>
          </w:tcPr>
          <w:p>
            <w:pPr>
              <w:jc w:val="center"/>
            </w:pPr>
            <w:r>
              <w:rPr>
                <w:rFonts w:ascii="Times New Roman" w:hAnsi="Times New Roman"/>
                <w:b w:val="0"/>
                <w:color w:val="000000"/>
                <w:sz w:val="20"/>
              </w:rPr>
              <w:t>Core programming language</w:t>
            </w:r>
          </w:p>
        </w:tc>
      </w:tr>
      <w:tr>
        <w:tc>
          <w:tcPr>
            <w:tcW w:type="dxa" w:w="3120"/>
          </w:tcPr>
          <w:p>
            <w:pPr>
              <w:jc w:val="center"/>
            </w:pPr>
            <w:r>
              <w:rPr>
                <w:rFonts w:ascii="Times New Roman" w:hAnsi="Times New Roman"/>
                <w:b w:val="0"/>
                <w:color w:val="000000"/>
                <w:sz w:val="20"/>
              </w:rPr>
              <w:t>NumPy</w:t>
            </w:r>
          </w:p>
        </w:tc>
        <w:tc>
          <w:tcPr>
            <w:tcW w:type="dxa" w:w="3120"/>
          </w:tcPr>
          <w:p>
            <w:pPr>
              <w:jc w:val="center"/>
            </w:pPr>
            <w:r>
              <w:rPr>
                <w:rFonts w:ascii="Times New Roman" w:hAnsi="Times New Roman"/>
                <w:b w:val="0"/>
                <w:color w:val="000000"/>
                <w:sz w:val="20"/>
              </w:rPr>
              <w:t>&gt;=1.24</w:t>
            </w:r>
          </w:p>
        </w:tc>
        <w:tc>
          <w:tcPr>
            <w:tcW w:type="dxa" w:w="3120"/>
          </w:tcPr>
          <w:p>
            <w:pPr>
              <w:jc w:val="center"/>
            </w:pPr>
            <w:r>
              <w:rPr>
                <w:rFonts w:ascii="Times New Roman" w:hAnsi="Times New Roman"/>
                <w:b w:val="0"/>
                <w:color w:val="000000"/>
                <w:sz w:val="20"/>
              </w:rPr>
              <w:t>Numerical array operations; random number generation</w:t>
            </w:r>
          </w:p>
        </w:tc>
      </w:tr>
      <w:tr>
        <w:tc>
          <w:tcPr>
            <w:tcW w:type="dxa" w:w="3120"/>
          </w:tcPr>
          <w:p>
            <w:pPr>
              <w:jc w:val="center"/>
            </w:pPr>
            <w:r>
              <w:rPr>
                <w:rFonts w:ascii="Times New Roman" w:hAnsi="Times New Roman"/>
                <w:b w:val="0"/>
                <w:color w:val="000000"/>
                <w:sz w:val="20"/>
              </w:rPr>
              <w:t>pandas</w:t>
            </w:r>
          </w:p>
        </w:tc>
        <w:tc>
          <w:tcPr>
            <w:tcW w:type="dxa" w:w="3120"/>
          </w:tcPr>
          <w:p>
            <w:pPr>
              <w:jc w:val="center"/>
            </w:pPr>
            <w:r>
              <w:rPr>
                <w:rFonts w:ascii="Times New Roman" w:hAnsi="Times New Roman"/>
                <w:b w:val="0"/>
                <w:color w:val="000000"/>
                <w:sz w:val="20"/>
              </w:rPr>
              <w:t>&gt;=2.0</w:t>
            </w:r>
          </w:p>
        </w:tc>
        <w:tc>
          <w:tcPr>
            <w:tcW w:type="dxa" w:w="3120"/>
          </w:tcPr>
          <w:p>
            <w:pPr>
              <w:jc w:val="center"/>
            </w:pPr>
            <w:r>
              <w:rPr>
                <w:rFonts w:ascii="Times New Roman" w:hAnsi="Times New Roman"/>
                <w:b w:val="0"/>
                <w:color w:val="000000"/>
                <w:sz w:val="20"/>
              </w:rPr>
              <w:t>Data manipulation, aggregation, and I/O</w:t>
            </w:r>
          </w:p>
        </w:tc>
      </w:tr>
      <w:tr>
        <w:tc>
          <w:tcPr>
            <w:tcW w:type="dxa" w:w="3120"/>
          </w:tcPr>
          <w:p>
            <w:pPr>
              <w:jc w:val="center"/>
            </w:pPr>
            <w:r>
              <w:rPr>
                <w:rFonts w:ascii="Times New Roman" w:hAnsi="Times New Roman"/>
                <w:b w:val="0"/>
                <w:color w:val="000000"/>
                <w:sz w:val="20"/>
              </w:rPr>
              <w:t>scikit-learn</w:t>
            </w:r>
          </w:p>
        </w:tc>
        <w:tc>
          <w:tcPr>
            <w:tcW w:type="dxa" w:w="3120"/>
          </w:tcPr>
          <w:p>
            <w:pPr>
              <w:jc w:val="center"/>
            </w:pPr>
            <w:r>
              <w:rPr>
                <w:rFonts w:ascii="Times New Roman" w:hAnsi="Times New Roman"/>
                <w:b w:val="0"/>
                <w:color w:val="000000"/>
                <w:sz w:val="20"/>
              </w:rPr>
              <w:t>&gt;=1.3</w:t>
            </w:r>
          </w:p>
        </w:tc>
        <w:tc>
          <w:tcPr>
            <w:tcW w:type="dxa" w:w="3120"/>
          </w:tcPr>
          <w:p>
            <w:pPr>
              <w:jc w:val="center"/>
            </w:pPr>
            <w:r>
              <w:rPr>
                <w:rFonts w:ascii="Times New Roman" w:hAnsi="Times New Roman"/>
                <w:b w:val="0"/>
                <w:color w:val="000000"/>
                <w:sz w:val="20"/>
              </w:rPr>
              <w:t>Preprocessing, LR, RF, train-test split, cross-validation, metrics</w:t>
            </w:r>
          </w:p>
        </w:tc>
      </w:tr>
      <w:tr>
        <w:tc>
          <w:tcPr>
            <w:tcW w:type="dxa" w:w="3120"/>
          </w:tcPr>
          <w:p>
            <w:pPr>
              <w:jc w:val="center"/>
            </w:pPr>
            <w:r>
              <w:rPr>
                <w:rFonts w:ascii="Times New Roman" w:hAnsi="Times New Roman"/>
                <w:b w:val="0"/>
                <w:color w:val="000000"/>
                <w:sz w:val="20"/>
              </w:rPr>
              <w:t>XGBoost</w:t>
            </w:r>
          </w:p>
        </w:tc>
        <w:tc>
          <w:tcPr>
            <w:tcW w:type="dxa" w:w="3120"/>
          </w:tcPr>
          <w:p>
            <w:pPr>
              <w:jc w:val="center"/>
            </w:pPr>
            <w:r>
              <w:rPr>
                <w:rFonts w:ascii="Times New Roman" w:hAnsi="Times New Roman"/>
                <w:b w:val="0"/>
                <w:color w:val="000000"/>
                <w:sz w:val="20"/>
              </w:rPr>
              <w:t>&gt;=1.7</w:t>
            </w:r>
          </w:p>
        </w:tc>
        <w:tc>
          <w:tcPr>
            <w:tcW w:type="dxa" w:w="3120"/>
          </w:tcPr>
          <w:p>
            <w:pPr>
              <w:jc w:val="center"/>
            </w:pPr>
            <w:r>
              <w:rPr>
                <w:rFonts w:ascii="Times New Roman" w:hAnsi="Times New Roman"/>
                <w:b w:val="0"/>
                <w:color w:val="000000"/>
                <w:sz w:val="20"/>
              </w:rPr>
              <w:t>Gradient Boosting classifier</w:t>
            </w:r>
          </w:p>
        </w:tc>
      </w:tr>
      <w:tr>
        <w:tc>
          <w:tcPr>
            <w:tcW w:type="dxa" w:w="3120"/>
          </w:tcPr>
          <w:p>
            <w:pPr>
              <w:jc w:val="center"/>
            </w:pPr>
            <w:r>
              <w:rPr>
                <w:rFonts w:ascii="Times New Roman" w:hAnsi="Times New Roman"/>
                <w:b w:val="0"/>
                <w:color w:val="000000"/>
                <w:sz w:val="20"/>
              </w:rPr>
              <w:t>imbalanced-learn</w:t>
            </w:r>
          </w:p>
        </w:tc>
        <w:tc>
          <w:tcPr>
            <w:tcW w:type="dxa" w:w="3120"/>
          </w:tcPr>
          <w:p>
            <w:pPr>
              <w:jc w:val="center"/>
            </w:pPr>
            <w:r>
              <w:rPr>
                <w:rFonts w:ascii="Times New Roman" w:hAnsi="Times New Roman"/>
                <w:b w:val="0"/>
                <w:color w:val="000000"/>
                <w:sz w:val="20"/>
              </w:rPr>
              <w:t>0.14</w:t>
            </w:r>
          </w:p>
        </w:tc>
        <w:tc>
          <w:tcPr>
            <w:tcW w:type="dxa" w:w="3120"/>
          </w:tcPr>
          <w:p>
            <w:pPr>
              <w:jc w:val="center"/>
            </w:pPr>
            <w:r>
              <w:rPr>
                <w:rFonts w:ascii="Times New Roman" w:hAnsi="Times New Roman"/>
                <w:b w:val="0"/>
                <w:color w:val="000000"/>
                <w:sz w:val="20"/>
              </w:rPr>
              <w:t>SMOTE class balancing</w:t>
            </w:r>
          </w:p>
        </w:tc>
      </w:tr>
      <w:tr>
        <w:tc>
          <w:tcPr>
            <w:tcW w:type="dxa" w:w="3120"/>
          </w:tcPr>
          <w:p>
            <w:pPr>
              <w:jc w:val="center"/>
            </w:pPr>
            <w:r>
              <w:rPr>
                <w:rFonts w:ascii="Times New Roman" w:hAnsi="Times New Roman"/>
                <w:b w:val="0"/>
                <w:color w:val="000000"/>
                <w:sz w:val="20"/>
              </w:rPr>
              <w:t>matplotlib</w:t>
            </w:r>
          </w:p>
        </w:tc>
        <w:tc>
          <w:tcPr>
            <w:tcW w:type="dxa" w:w="3120"/>
          </w:tcPr>
          <w:p>
            <w:pPr>
              <w:jc w:val="center"/>
            </w:pPr>
            <w:r>
              <w:rPr>
                <w:rFonts w:ascii="Times New Roman" w:hAnsi="Times New Roman"/>
                <w:b w:val="0"/>
                <w:color w:val="000000"/>
                <w:sz w:val="20"/>
              </w:rPr>
              <w:t>&gt;=3.7</w:t>
            </w:r>
          </w:p>
        </w:tc>
        <w:tc>
          <w:tcPr>
            <w:tcW w:type="dxa" w:w="3120"/>
          </w:tcPr>
          <w:p>
            <w:pPr>
              <w:jc w:val="center"/>
            </w:pPr>
            <w:r>
              <w:rPr>
                <w:rFonts w:ascii="Times New Roman" w:hAnsi="Times New Roman"/>
                <w:b w:val="0"/>
                <w:color w:val="000000"/>
                <w:sz w:val="20"/>
              </w:rPr>
              <w:t>Base plotting framework</w:t>
            </w:r>
          </w:p>
        </w:tc>
      </w:tr>
      <w:tr>
        <w:tc>
          <w:tcPr>
            <w:tcW w:type="dxa" w:w="3120"/>
          </w:tcPr>
          <w:p>
            <w:pPr>
              <w:jc w:val="center"/>
            </w:pPr>
            <w:r>
              <w:rPr>
                <w:rFonts w:ascii="Times New Roman" w:hAnsi="Times New Roman"/>
                <w:b w:val="0"/>
                <w:color w:val="000000"/>
                <w:sz w:val="20"/>
              </w:rPr>
              <w:t>seaborn</w:t>
            </w:r>
          </w:p>
        </w:tc>
        <w:tc>
          <w:tcPr>
            <w:tcW w:type="dxa" w:w="3120"/>
          </w:tcPr>
          <w:p>
            <w:pPr>
              <w:jc w:val="center"/>
            </w:pPr>
            <w:r>
              <w:rPr>
                <w:rFonts w:ascii="Times New Roman" w:hAnsi="Times New Roman"/>
                <w:b w:val="0"/>
                <w:color w:val="000000"/>
                <w:sz w:val="20"/>
              </w:rPr>
              <w:t>0.13</w:t>
            </w:r>
          </w:p>
        </w:tc>
        <w:tc>
          <w:tcPr>
            <w:tcW w:type="dxa" w:w="3120"/>
          </w:tcPr>
          <w:p>
            <w:pPr>
              <w:jc w:val="center"/>
            </w:pPr>
            <w:r>
              <w:rPr>
                <w:rFonts w:ascii="Times New Roman" w:hAnsi="Times New Roman"/>
                <w:b w:val="0"/>
                <w:color w:val="000000"/>
                <w:sz w:val="20"/>
              </w:rPr>
              <w:t>Statistical visualisations</w:t>
            </w:r>
          </w:p>
        </w:tc>
      </w:tr>
      <w:tr>
        <w:tc>
          <w:tcPr>
            <w:tcW w:type="dxa" w:w="3120"/>
          </w:tcPr>
          <w:p>
            <w:pPr>
              <w:jc w:val="center"/>
            </w:pPr>
            <w:r>
              <w:rPr>
                <w:rFonts w:ascii="Times New Roman" w:hAnsi="Times New Roman"/>
                <w:b w:val="0"/>
                <w:color w:val="000000"/>
                <w:sz w:val="20"/>
              </w:rPr>
              <w:t>scipy</w:t>
            </w:r>
          </w:p>
        </w:tc>
        <w:tc>
          <w:tcPr>
            <w:tcW w:type="dxa" w:w="3120"/>
          </w:tcPr>
          <w:p>
            <w:pPr>
              <w:jc w:val="center"/>
            </w:pPr>
            <w:r>
              <w:rPr>
                <w:rFonts w:ascii="Times New Roman" w:hAnsi="Times New Roman"/>
                <w:b w:val="0"/>
                <w:color w:val="000000"/>
                <w:sz w:val="20"/>
              </w:rPr>
              <w:t>&gt;=1.10</w:t>
            </w:r>
          </w:p>
        </w:tc>
        <w:tc>
          <w:tcPr>
            <w:tcW w:type="dxa" w:w="3120"/>
          </w:tcPr>
          <w:p>
            <w:pPr>
              <w:jc w:val="center"/>
            </w:pPr>
            <w:r>
              <w:rPr>
                <w:rFonts w:ascii="Times New Roman" w:hAnsi="Times New Roman"/>
                <w:b w:val="0"/>
                <w:color w:val="000000"/>
                <w:sz w:val="20"/>
              </w:rPr>
              <w:t>Statistical utility functions (expit/logistic sigmoid)</w:t>
            </w:r>
          </w:p>
        </w:tc>
      </w:tr>
      <w:tr>
        <w:tc>
          <w:tcPr>
            <w:tcW w:type="dxa" w:w="3120"/>
          </w:tcPr>
          <w:p>
            <w:pPr>
              <w:jc w:val="center"/>
            </w:pPr>
            <w:r>
              <w:rPr>
                <w:rFonts w:ascii="Times New Roman" w:hAnsi="Times New Roman"/>
                <w:b w:val="0"/>
                <w:color w:val="000000"/>
                <w:sz w:val="20"/>
              </w:rPr>
              <w:t>Jupyter Notebook</w:t>
            </w:r>
          </w:p>
        </w:tc>
        <w:tc>
          <w:tcPr>
            <w:tcW w:type="dxa" w:w="3120"/>
          </w:tcPr>
          <w:p>
            <w:pPr>
              <w:jc w:val="center"/>
            </w:pPr>
            <w:r>
              <w:rPr>
                <w:rFonts w:ascii="Times New Roman" w:hAnsi="Times New Roman"/>
                <w:b w:val="0"/>
                <w:color w:val="000000"/>
                <w:sz w:val="20"/>
              </w:rPr>
              <w:t>&gt;=7.0</w:t>
            </w:r>
          </w:p>
        </w:tc>
        <w:tc>
          <w:tcPr>
            <w:tcW w:type="dxa" w:w="3120"/>
          </w:tcPr>
          <w:p>
            <w:pPr>
              <w:jc w:val="center"/>
            </w:pPr>
            <w:r>
              <w:rPr>
                <w:rFonts w:ascii="Times New Roman" w:hAnsi="Times New Roman"/>
                <w:b w:val="0"/>
                <w:color w:val="000000"/>
                <w:sz w:val="20"/>
              </w:rPr>
              <w:t>Interactive analysis notebook</w:t>
            </w:r>
          </w:p>
        </w:tc>
      </w:tr>
      <w:tr>
        <w:tc>
          <w:tcPr>
            <w:tcW w:type="dxa" w:w="3120"/>
          </w:tcPr>
          <w:p>
            <w:pPr>
              <w:jc w:val="center"/>
            </w:pPr>
            <w:r>
              <w:rPr>
                <w:rFonts w:ascii="Times New Roman" w:hAnsi="Times New Roman"/>
                <w:b w:val="0"/>
                <w:color w:val="000000"/>
                <w:sz w:val="20"/>
              </w:rPr>
              <w:t>python-docx</w:t>
            </w:r>
          </w:p>
        </w:tc>
        <w:tc>
          <w:tcPr>
            <w:tcW w:type="dxa" w:w="3120"/>
          </w:tcPr>
          <w:p>
            <w:pPr>
              <w:jc w:val="center"/>
            </w:pPr>
            <w:r>
              <w:rPr>
                <w:rFonts w:ascii="Times New Roman" w:hAnsi="Times New Roman"/>
                <w:b w:val="0"/>
                <w:color w:val="000000"/>
                <w:sz w:val="20"/>
              </w:rPr>
              <w:t>1.2</w:t>
            </w:r>
          </w:p>
        </w:tc>
        <w:tc>
          <w:tcPr>
            <w:tcW w:type="dxa" w:w="3120"/>
          </w:tcPr>
          <w:p>
            <w:pPr>
              <w:jc w:val="center"/>
            </w:pPr>
            <w:r>
              <w:rPr>
                <w:rFonts w:ascii="Times New Roman" w:hAnsi="Times New Roman"/>
                <w:b w:val="0"/>
                <w:color w:val="000000"/>
                <w:sz w:val="20"/>
              </w:rPr>
              <w:t>Programmatic generation of Word chapter documents</w:t>
            </w:r>
          </w:p>
        </w:tc>
      </w:tr>
    </w:tbl>
    <w:p/>
    <w:p>
      <w:pPr>
        <w:spacing w:before="240" w:after="120" w:line="420" w:lineRule="exact"/>
        <w:jc w:val="left"/>
      </w:pPr>
      <w:r>
        <w:rPr>
          <w:rFonts w:ascii="Times New Roman" w:hAnsi="Times New Roman"/>
          <w:b/>
          <w:color w:val="000000"/>
          <w:sz w:val="28"/>
        </w:rPr>
        <w:t>3.11 Ethical Considerations</w:t>
      </w:r>
    </w:p>
    <w:p>
      <w:pPr>
        <w:spacing w:before="0" w:after="120" w:line="360" w:lineRule="exact"/>
        <w:jc w:val="both"/>
      </w:pPr>
      <w:r>
        <w:rPr>
          <w:rFonts w:ascii="Times New Roman" w:hAnsi="Times New Roman"/>
          <w:b w:val="0"/>
          <w:color w:val="000000"/>
          <w:sz w:val="24"/>
        </w:rPr>
        <w:t>This study raises ethical considerations in three areas: data privacy, algorithmic fairness, and the responsible use of predictive models in a policy context.</w:t>
      </w:r>
    </w:p>
    <w:p>
      <w:pPr>
        <w:spacing w:before="0" w:after="120" w:line="360" w:lineRule="exact"/>
        <w:jc w:val="both"/>
      </w:pPr>
      <w:r>
        <w:rPr>
          <w:rFonts w:ascii="Times New Roman" w:hAnsi="Times New Roman"/>
          <w:b w:val="0"/>
          <w:color w:val="000000"/>
          <w:sz w:val="24"/>
        </w:rPr>
        <w:t>With respect to data privacy, the exclusive use of synthetic data eliminates the risk of harm to individual research subjects. No real person's identity documentation status, income, or financial account information is used, stored, or disclosed. The synthetic generation approach is consistent with the principle of privacy by design and with the requirements of Zimbabwe's Cyber and Data Protection Act (Chapter 11:23, 2021), which mandates that personal data processing be proportionate to the purposes for which it is conducted (Government of Zimbabwe, 2021).</w:t>
      </w:r>
    </w:p>
    <w:p>
      <w:pPr>
        <w:spacing w:before="0" w:after="120" w:line="360" w:lineRule="exact"/>
        <w:jc w:val="both"/>
      </w:pPr>
      <w:r>
        <w:rPr>
          <w:rFonts w:ascii="Times New Roman" w:hAnsi="Times New Roman"/>
          <w:b w:val="0"/>
          <w:color w:val="000000"/>
          <w:sz w:val="24"/>
        </w:rPr>
        <w:t>With respect to algorithmic fairness, the study is acutely aware that predictive models applied to financial inclusion decisions carry the risk of encoding and amplifying existing structural disadvantages. The gender, location, and employment sector variables included in the models are known correlates of systemic disadvantage in Zimbabwe; including them as predictors reflects the empirical reality of the population rather than an endorsement of their use as discriminatory criteria in individual financial decisions. The FERI index is designed as a group-level policy monitoring tool, not as an individual creditworthiness score; it quantifies systemic exclusion patterns to inform regulatory design, and its application at the individual level — for example, as an account-opening eligibility criterion — would constitute a misuse of the instrument beyond its intended scope.</w:t>
      </w:r>
    </w:p>
    <w:p>
      <w:pPr>
        <w:spacing w:before="0" w:after="120" w:line="360" w:lineRule="exact"/>
        <w:jc w:val="both"/>
      </w:pPr>
      <w:r>
        <w:rPr>
          <w:rFonts w:ascii="Times New Roman" w:hAnsi="Times New Roman"/>
          <w:b w:val="0"/>
          <w:color w:val="000000"/>
          <w:sz w:val="24"/>
        </w:rPr>
        <w:t>With respect to responsible policy use, the study acknowledges that evidence-based recommendations are subject to implementation risks. Tiered KYC frameworks, if poorly designed, could create new forms of exclusion through administrative complexity or misaligned tier thresholds. The recommendations in Chapter 5 are therefore presented as starting points for regulatory dialogue, grounded in but not reducible to the quantitative findings of the model, and are framed with explicit acknowledgement of the limitations described in Chapter 5.</w:t>
      </w:r>
    </w:p>
    <w:p>
      <w:pPr>
        <w:spacing w:before="240" w:after="120" w:line="420" w:lineRule="exact"/>
        <w:jc w:val="left"/>
      </w:pPr>
      <w:r>
        <w:rPr>
          <w:rFonts w:ascii="Times New Roman" w:hAnsi="Times New Roman"/>
          <w:b/>
          <w:color w:val="000000"/>
          <w:sz w:val="28"/>
        </w:rPr>
        <w:t>3.12 Chapter Summary</w:t>
      </w:r>
    </w:p>
    <w:p>
      <w:pPr>
        <w:spacing w:before="0" w:after="120" w:line="360" w:lineRule="exact"/>
        <w:jc w:val="both"/>
      </w:pPr>
      <w:r>
        <w:rPr>
          <w:rFonts w:ascii="Times New Roman" w:hAnsi="Times New Roman"/>
          <w:b w:val="0"/>
          <w:color w:val="000000"/>
          <w:sz w:val="24"/>
        </w:rPr>
        <w:t>Chapter 3 has provided a comprehensive account of the methodological architecture underpinning this study. The CRISP-DM framework was adopted as the process model, providing a structured, iterative pathway from the policy problem formulation in Chapter 1 to the empirical outputs in Chapter 4. The research employs a quantitative, predictive-explanatory design, drawing on a synthetic dataset of 5,000 individual records calibrated to FinScope Zimbabwe 2022 statistics across all major demographic and exclusion-rate indicators. The data generation process was shown to reproduce the national exclusion rate of approximately 36–38 per cent and to closely approximate the urban-rural, gender, and employment-sector differentials documented in the survey.</w:t>
      </w:r>
    </w:p>
    <w:p>
      <w:pPr>
        <w:spacing w:before="0" w:after="120" w:line="360" w:lineRule="exact"/>
        <w:jc w:val="both"/>
      </w:pPr>
      <w:r>
        <w:rPr>
          <w:rFonts w:ascii="Times New Roman" w:hAnsi="Times New Roman"/>
          <w:b w:val="0"/>
          <w:color w:val="000000"/>
          <w:sz w:val="24"/>
        </w:rPr>
        <w:t>The preprocessing pipeline applied one-hot encoding to six categorical variables, StandardScaler normalisation to four numeric variables, and SMOTE class balancing to the training set, yielding a 28-feature training matrix of 5,092 balanced observations. The Financial Exclusion Risk Index was constructed as a novel composite measure combining KYC documentation gap, demographic vulnerability, and institutional barrier sub-indices with weights of 0.45, 0.35, and 0.20 respectively, producing a 0–100 score banded into four risk categories. Three classification models — Logistic Regression, Random Forest, and XGBoost — were trained and evaluated on a held-out test set of 1,000 observations, achieving ROC-AUC scores of 0.8485, 0.8431, and 0.8319 respectively, all indicating strong discriminative capacity. Ethical considerations relating to data privacy, algorithmic fairness, and responsible policy application were addressed explicitly. Chapter 4 proceeds to present, visualise, and interpret the empirical results in detail.</w:t>
      </w:r>
    </w:p>
    <w:p>
      <w:pPr>
        <w:spacing w:before="240" w:after="120" w:line="420" w:lineRule="exact"/>
        <w:jc w:val="left"/>
      </w:pPr>
      <w:r>
        <w:rPr>
          <w:rFonts w:ascii="Times New Roman" w:hAnsi="Times New Roman"/>
          <w:b/>
          <w:color w:val="000000"/>
          <w:sz w:val="28"/>
        </w:rPr>
        <w:t>References (Chapter 3)</w:t>
      </w:r>
    </w:p>
    <w:p>
      <w:pPr>
        <w:spacing w:before="0" w:after="80" w:line="320" w:lineRule="exact"/>
        <w:ind w:left="720" w:hanging="720"/>
        <w:jc w:val="both"/>
      </w:pPr>
      <w:r>
        <w:rPr>
          <w:rFonts w:ascii="Times New Roman" w:hAnsi="Times New Roman"/>
          <w:b w:val="0"/>
          <w:color w:val="000000"/>
          <w:sz w:val="22"/>
        </w:rPr>
        <w:t>Azevedo, A. I. R. L. and Santos, M. F. (2008) 'KDD, SEMMA and CRISP-DM: a parallel overview', in Proceedings of the IADIS European Conference on Data Mining, Amsterdam, pp. 182–185.</w:t>
      </w:r>
    </w:p>
    <w:p>
      <w:pPr>
        <w:spacing w:before="0" w:after="80" w:line="320" w:lineRule="exact"/>
        <w:ind w:left="720" w:hanging="720"/>
        <w:jc w:val="both"/>
      </w:pPr>
      <w:r>
        <w:rPr>
          <w:rFonts w:ascii="Times New Roman" w:hAnsi="Times New Roman"/>
          <w:b w:val="0"/>
          <w:color w:val="000000"/>
          <w:sz w:val="22"/>
        </w:rPr>
        <w:t>Blagus, R. and Lusa, L. (2013) 'SMOTE for high-dimensional class-imbalanced data', BMC Bioinformatics, 14(1), pp. 1–16.</w:t>
      </w:r>
    </w:p>
    <w:p>
      <w:pPr>
        <w:spacing w:before="0" w:after="80" w:line="320" w:lineRule="exact"/>
        <w:ind w:left="720" w:hanging="720"/>
        <w:jc w:val="both"/>
      </w:pPr>
      <w:r>
        <w:rPr>
          <w:rFonts w:ascii="Times New Roman" w:hAnsi="Times New Roman"/>
          <w:b w:val="0"/>
          <w:color w:val="000000"/>
          <w:sz w:val="22"/>
        </w:rPr>
        <w:t>Breiman, L. (2001) 'Random forests', Machine Learning, 45(1), pp. 5–32.</w:t>
      </w:r>
    </w:p>
    <w:p>
      <w:pPr>
        <w:spacing w:before="0" w:after="80" w:line="320" w:lineRule="exact"/>
        <w:ind w:left="720" w:hanging="720"/>
        <w:jc w:val="both"/>
      </w:pPr>
      <w:r>
        <w:rPr>
          <w:rFonts w:ascii="Times New Roman" w:hAnsi="Times New Roman"/>
          <w:b w:val="0"/>
          <w:color w:val="000000"/>
          <w:sz w:val="22"/>
        </w:rPr>
        <w:t>Chawla, N. V., Bowyer, K. W., Hall, L. O. and Kegelmeyer, W. P. (2002) 'SMOTE: Synthetic minority over-sampling technique', Journal of Artificial Intelligence Research, 16, pp. 321–357.</w:t>
      </w:r>
    </w:p>
    <w:p>
      <w:pPr>
        <w:spacing w:before="0" w:after="80" w:line="320" w:lineRule="exact"/>
        <w:ind w:left="720" w:hanging="720"/>
        <w:jc w:val="both"/>
      </w:pPr>
      <w:r>
        <w:rPr>
          <w:rFonts w:ascii="Times New Roman" w:hAnsi="Times New Roman"/>
          <w:b w:val="0"/>
          <w:color w:val="000000"/>
          <w:sz w:val="22"/>
        </w:rPr>
        <w:t>Chen, T. and Guestrin, C. (2016) 'XGBoost: A scalable tree boosting system', in Proceedings of the 22nd ACM SIGKDD International Conference on Knowledge Discovery and Data Mining, New York: ACM, pp. 785–794.</w:t>
      </w:r>
    </w:p>
    <w:p>
      <w:pPr>
        <w:spacing w:before="0" w:after="80" w:line="320" w:lineRule="exact"/>
        <w:ind w:left="720" w:hanging="720"/>
        <w:jc w:val="both"/>
      </w:pPr>
      <w:r>
        <w:rPr>
          <w:rFonts w:ascii="Times New Roman" w:hAnsi="Times New Roman"/>
          <w:b w:val="0"/>
          <w:color w:val="000000"/>
          <w:sz w:val="22"/>
        </w:rPr>
        <w:t>Creswell, J. W. and Creswell, J. D. (2018) Research design: Qualitative, quantitative, and mixed methods approaches. 5th edn. Thousand Oaks, CA: SAGE.</w:t>
      </w:r>
    </w:p>
    <w:p>
      <w:pPr>
        <w:spacing w:before="0" w:after="80" w:line="320" w:lineRule="exact"/>
        <w:ind w:left="720" w:hanging="720"/>
        <w:jc w:val="both"/>
      </w:pPr>
      <w:r>
        <w:rPr>
          <w:rFonts w:ascii="Times New Roman" w:hAnsi="Times New Roman"/>
          <w:b w:val="0"/>
          <w:color w:val="000000"/>
          <w:sz w:val="22"/>
        </w:rPr>
        <w:t>FinScope Zimbabwe (2022) FinScope consumer survey Zimbabwe 2022. Harare: FinMark Trust.</w:t>
      </w:r>
    </w:p>
    <w:p>
      <w:pPr>
        <w:spacing w:before="0" w:after="80" w:line="320" w:lineRule="exact"/>
        <w:ind w:left="720" w:hanging="720"/>
        <w:jc w:val="both"/>
      </w:pPr>
      <w:r>
        <w:rPr>
          <w:rFonts w:ascii="Times New Roman" w:hAnsi="Times New Roman"/>
          <w:b w:val="0"/>
          <w:color w:val="000000"/>
          <w:sz w:val="22"/>
        </w:rPr>
        <w:t>Government of Zimbabwe (2021) Cyber and Data Protection Act, Chapter 11:23. Harare: Government of Zimbabwe.</w:t>
      </w:r>
    </w:p>
    <w:p>
      <w:pPr>
        <w:spacing w:before="0" w:after="80" w:line="320" w:lineRule="exact"/>
        <w:ind w:left="720" w:hanging="720"/>
        <w:jc w:val="both"/>
      </w:pPr>
      <w:r>
        <w:rPr>
          <w:rFonts w:ascii="Times New Roman" w:hAnsi="Times New Roman"/>
          <w:b w:val="0"/>
          <w:color w:val="000000"/>
          <w:sz w:val="22"/>
        </w:rPr>
        <w:t>Hosmer, D. W. and Lemeshow, S. (2013) Applied logistic regression. 3rd edn. Hoboken, NJ: John Wiley &amp; Sons.</w:t>
      </w:r>
    </w:p>
    <w:p>
      <w:pPr>
        <w:spacing w:before="0" w:after="80" w:line="320" w:lineRule="exact"/>
        <w:ind w:left="720" w:hanging="720"/>
        <w:jc w:val="both"/>
      </w:pPr>
      <w:r>
        <w:rPr>
          <w:rFonts w:ascii="Times New Roman" w:hAnsi="Times New Roman"/>
          <w:b w:val="0"/>
          <w:color w:val="000000"/>
          <w:sz w:val="22"/>
        </w:rPr>
        <w:t>Oshiro, T. M., Perez, P. S. and Baranauskas, J. A. (2012) 'How many trees in a random forest?', in Proceedings of the 8th International Conference on Machine Learning and Data Mining, Springer, pp. 154–168.</w:t>
      </w:r>
    </w:p>
    <w:p>
      <w:pPr>
        <w:spacing w:before="0" w:after="80" w:line="320" w:lineRule="exact"/>
        <w:ind w:left="720" w:hanging="720"/>
        <w:jc w:val="both"/>
      </w:pPr>
      <w:r>
        <w:rPr>
          <w:rFonts w:ascii="Times New Roman" w:hAnsi="Times New Roman"/>
          <w:b w:val="0"/>
          <w:color w:val="000000"/>
          <w:sz w:val="22"/>
        </w:rPr>
        <w:t>Reserve Bank of Zimbabwe (2021) Anti-money laundering and counter-terrorism financing guidelines for financial institutions. Harare: Reserve Bank of Zimbabwe.</w:t>
      </w:r>
    </w:p>
    <w:p>
      <w:pPr>
        <w:spacing w:before="0" w:after="80" w:line="320" w:lineRule="exact"/>
        <w:ind w:left="720" w:hanging="720"/>
        <w:jc w:val="both"/>
      </w:pPr>
      <w:r>
        <w:rPr>
          <w:rFonts w:ascii="Times New Roman" w:hAnsi="Times New Roman"/>
          <w:b w:val="0"/>
          <w:color w:val="000000"/>
          <w:sz w:val="22"/>
        </w:rPr>
        <w:t>Reserve Bank of Zimbabwe (2022) Zimbabwe National Financial Inclusion Strategy II (ZNFIS II), 2022–2026. Harare: Reserve Bank of Zimbabwe.</w:t>
      </w:r>
    </w:p>
    <w:p>
      <w:pPr>
        <w:spacing w:before="0" w:after="80" w:line="320" w:lineRule="exact"/>
        <w:ind w:left="720" w:hanging="720"/>
        <w:jc w:val="both"/>
      </w:pPr>
      <w:r>
        <w:rPr>
          <w:rFonts w:ascii="Times New Roman" w:hAnsi="Times New Roman"/>
          <w:b w:val="0"/>
          <w:color w:val="000000"/>
          <w:sz w:val="22"/>
        </w:rPr>
        <w:t>Stodden, V. (2014) 'The reproducible research movement in statistics', Statistical Science, 29(1), pp. 46–49.</w:t>
      </w:r>
    </w:p>
    <w:p>
      <w:pPr>
        <w:spacing w:before="0" w:after="80" w:line="320" w:lineRule="exact"/>
        <w:ind w:left="720" w:hanging="720"/>
        <w:jc w:val="both"/>
      </w:pPr>
      <w:r>
        <w:rPr>
          <w:rFonts w:ascii="Times New Roman" w:hAnsi="Times New Roman"/>
          <w:b w:val="0"/>
          <w:color w:val="000000"/>
          <w:sz w:val="22"/>
        </w:rPr>
        <w:t>Wirth, R. and Hipp, J. (2000) 'CRISP-DM: Towards a standard process model for data mining', in Proceedings of the 4th International Conference on the Practical Applications of Knowledge Discovery and Data Mining, pp. 29–39.</w:t>
      </w:r>
    </w:p>
    <w:p>
      <w:pPr>
        <w:spacing w:before="0" w:after="80" w:line="320" w:lineRule="exact"/>
        <w:ind w:left="720" w:hanging="720"/>
        <w:jc w:val="both"/>
      </w:pPr>
      <w:r>
        <w:rPr>
          <w:rFonts w:ascii="Times New Roman" w:hAnsi="Times New Roman"/>
          <w:b w:val="0"/>
          <w:color w:val="000000"/>
          <w:sz w:val="22"/>
        </w:rPr>
        <w:t>World Bank (2022) The global findex database 2021: Financial inclusion, digital payments, and resilience in the age of COVID-19. Washington, DC: World Bank.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