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420" w:lineRule="exact"/>
        <w:jc w:val="left"/>
      </w:pPr>
      <w:r>
        <w:rPr>
          <w:rFonts w:ascii="Times New Roman" w:hAnsi="Times New Roman"/>
          <w:b/>
          <w:color w:val="000000"/>
          <w:sz w:val="28"/>
        </w:rPr>
        <w:t>Chapter 4: Results and Findings</w:t>
      </w:r>
    </w:p>
    <w:p>
      <w:pPr>
        <w:spacing w:before="240" w:after="120" w:line="420" w:lineRule="exact"/>
        <w:jc w:val="left"/>
      </w:pPr>
      <w:r>
        <w:rPr>
          <w:rFonts w:ascii="Times New Roman" w:hAnsi="Times New Roman"/>
          <w:b/>
          <w:color w:val="000000"/>
          <w:sz w:val="28"/>
        </w:rPr>
        <w:t>4.1 Introduction</w:t>
      </w:r>
    </w:p>
    <w:p>
      <w:pPr>
        <w:spacing w:before="0" w:after="120" w:line="360" w:lineRule="exact"/>
        <w:jc w:val="both"/>
      </w:pPr>
      <w:r>
        <w:rPr>
          <w:rFonts w:ascii="Times New Roman" w:hAnsi="Times New Roman"/>
          <w:b w:val="0"/>
          <w:color w:val="000000"/>
          <w:sz w:val="24"/>
        </w:rPr>
        <w:t>This chapter presents the empirical results of the study, organised around the five research objectives established in Chapter 1. Section 4.2 provides a summary of key findings mapped to each objective. Section 4.3 reports descriptive statistics and exploratory visualisations of the dataset. Section 4.4 evaluates the performance of the three classification models. Section 4.5 discusses inferential patterns and relationships between variables. Section 4.6 presents the statistical analysis results. Section 4.7 examines feature importance findings across models. Section 4.8 addresses outliers and anomalies. Section 4.9 discusses robustness and sensitivity. Section 4.10 offers a discussion and interpretation of all findings, and Section 4.11 summarises the chapter.</w:t>
      </w:r>
    </w:p>
    <w:p>
      <w:pPr>
        <w:spacing w:before="0" w:after="120" w:line="360" w:lineRule="exact"/>
        <w:jc w:val="both"/>
      </w:pPr>
      <w:r>
        <w:rPr>
          <w:rFonts w:ascii="Times New Roman" w:hAnsi="Times New Roman"/>
          <w:b w:val="0"/>
          <w:color w:val="000000"/>
          <w:sz w:val="24"/>
        </w:rPr>
        <w:t>All results reported in this chapter were produced by executing the analytical pipeline (main.py) on the synthetic dataset of n = 5,000 individual records calibrated to FinScope Zimbabwe 2022 statistics (seed = 42). The held-out test set comprised 1,000 observations retaining the natural class distribution of 63.6 per cent included and 36.4 per cent excluded. All figures referenced are available in the outputs/figures/ directory of the project repository.</w:t>
      </w:r>
    </w:p>
    <w:p>
      <w:pPr>
        <w:spacing w:before="240" w:after="120" w:line="420" w:lineRule="exact"/>
        <w:jc w:val="left"/>
      </w:pPr>
      <w:r>
        <w:rPr>
          <w:rFonts w:ascii="Times New Roman" w:hAnsi="Times New Roman"/>
          <w:b/>
          <w:color w:val="000000"/>
          <w:sz w:val="28"/>
        </w:rPr>
        <w:t>4.2 Summary of Key Findings by Research Objective</w:t>
      </w:r>
    </w:p>
    <w:p>
      <w:pPr>
        <w:spacing w:before="0" w:after="120" w:line="360" w:lineRule="exact"/>
        <w:jc w:val="both"/>
      </w:pPr>
      <w:r>
        <w:rPr>
          <w:rFonts w:ascii="Times New Roman" w:hAnsi="Times New Roman"/>
          <w:b w:val="0"/>
          <w:color w:val="000000"/>
          <w:sz w:val="24"/>
        </w:rPr>
        <w:t>The five research objectives are addressed in turn below. Each sub-section presents the principal finding for that objective, with supporting quantitative evidence drawn from the model outputs, FERI computations, and statistical summaries.</w:t>
      </w:r>
    </w:p>
    <w:p>
      <w:pPr>
        <w:spacing w:before="240" w:after="120" w:line="360" w:lineRule="exact"/>
        <w:jc w:val="left"/>
      </w:pPr>
      <w:r>
        <w:rPr>
          <w:rFonts w:ascii="Times New Roman" w:hAnsi="Times New Roman"/>
          <w:b/>
          <w:color w:val="000000"/>
          <w:sz w:val="24"/>
        </w:rPr>
        <w:t>4.2.1 Objective 1: Model the Impact of KYC Compliance Gaps on Financial Exclusion</w:t>
      </w:r>
    </w:p>
    <w:p>
      <w:pPr>
        <w:spacing w:before="0" w:after="120" w:line="360" w:lineRule="exact"/>
        <w:jc w:val="both"/>
      </w:pPr>
      <w:r>
        <w:rPr>
          <w:rFonts w:ascii="Times New Roman" w:hAnsi="Times New Roman"/>
          <w:b w:val="0"/>
          <w:color w:val="000000"/>
          <w:sz w:val="24"/>
        </w:rPr>
        <w:t>All three classification models successfully modelled the relationship between KYC compliance gaps and financial exclusion outcomes, achieving ROC-AUC scores between 0.832 and 0.849 on the held-out test set. The best-performing model, Logistic Regression, achieved an ROC-AUC of 0.8485, confirming that KYC-related features carry strong and largely linear discriminative signal with respect to financial exclusion status. The consistent performance across all three model families — from a simple linear classifier to a gradient boosting ensemble — indicates that the predictive relationship between KYC barriers and exclusion is robust and not an artefact of any particular algorithmic assumption.</w:t>
      </w:r>
    </w:p>
    <w:p>
      <w:pPr>
        <w:spacing w:before="240" w:after="120" w:line="360" w:lineRule="exact"/>
        <w:jc w:val="left"/>
      </w:pPr>
      <w:r>
        <w:rPr>
          <w:rFonts w:ascii="Times New Roman" w:hAnsi="Times New Roman"/>
          <w:b/>
          <w:color w:val="000000"/>
          <w:sz w:val="24"/>
        </w:rPr>
        <w:t>4.2.2 Objective 2: Identify Key KYC-Related Predictors</w:t>
      </w:r>
    </w:p>
    <w:p>
      <w:pPr>
        <w:spacing w:before="0" w:after="120" w:line="360" w:lineRule="exact"/>
        <w:jc w:val="both"/>
      </w:pPr>
      <w:r>
        <w:rPr>
          <w:rFonts w:ascii="Times New Roman" w:hAnsi="Times New Roman"/>
          <w:b w:val="0"/>
          <w:color w:val="000000"/>
          <w:sz w:val="24"/>
        </w:rPr>
        <w:t>Feature importance analysis across all three models consistently identified has_national_id and has_proof_of_address as the two strongest predictors of financial exclusion. The absence of a national identity document contributed the largest single increase in exclusion probability in the Logistic Regression model, with a positive log-odds coefficient of approximately 1.8, consistent with the 40-point weight assigned to national ID absence in the FERI KYC Documentation Gap Score. Income quintile, location (rural), and has_mobile_phone consistently ranked within the top five predictors across all three models, confirming the compounded role of economic and geographic factors alongside documentation status in driving exclusion risk.</w:t>
      </w:r>
    </w:p>
    <w:p>
      <w:pPr>
        <w:spacing w:before="240" w:after="120" w:line="360" w:lineRule="exact"/>
        <w:jc w:val="left"/>
      </w:pPr>
      <w:r>
        <w:rPr>
          <w:rFonts w:ascii="Times New Roman" w:hAnsi="Times New Roman"/>
          <w:b/>
          <w:color w:val="000000"/>
          <w:sz w:val="24"/>
        </w:rPr>
        <w:t>4.2.3 Objective 3: Construct the Financial Exclusion Risk Index (FERI)</w:t>
      </w:r>
    </w:p>
    <w:p>
      <w:pPr>
        <w:spacing w:before="0" w:after="120" w:line="360" w:lineRule="exact"/>
        <w:jc w:val="both"/>
      </w:pPr>
      <w:r>
        <w:rPr>
          <w:rFonts w:ascii="Times New Roman" w:hAnsi="Times New Roman"/>
          <w:b w:val="0"/>
          <w:color w:val="000000"/>
          <w:sz w:val="24"/>
        </w:rPr>
        <w:t>The FERI was successfully computed for all 5,000 observations. The population-level FERI score had a mean of 30.83 (SD = 19.25, median = 28.77), indicating that the average adult in the dataset faces moderate KYC-driven exclusion risk. The index demonstrated strong face validity: groups known from the FinScope literature to face the highest exclusion rates — lowest income quintile (65.6% excluded), no formal education (59.6%), rural residents (61.0%), and the unemployed (46.6%) — also recorded the highest mean FERI scores of 50.1, 46.6, 46.5, and 41.8 respectively. The correlation between FERI score and actual exclusion status confirms the index's construct validity as a risk stratification tool.</w:t>
      </w:r>
    </w:p>
    <w:p>
      <w:pPr>
        <w:spacing w:before="240" w:after="120" w:line="360" w:lineRule="exact"/>
        <w:jc w:val="left"/>
      </w:pPr>
      <w:r>
        <w:rPr>
          <w:rFonts w:ascii="Times New Roman" w:hAnsi="Times New Roman"/>
          <w:b/>
          <w:color w:val="000000"/>
          <w:sz w:val="24"/>
        </w:rPr>
        <w:t>4.2.4 Objective 4: Compare Model Performance</w:t>
      </w:r>
    </w:p>
    <w:p>
      <w:pPr>
        <w:spacing w:before="0" w:after="120" w:line="360" w:lineRule="exact"/>
        <w:jc w:val="both"/>
      </w:pPr>
      <w:r>
        <w:rPr>
          <w:rFonts w:ascii="Times New Roman" w:hAnsi="Times New Roman"/>
          <w:b w:val="0"/>
          <w:color w:val="000000"/>
          <w:sz w:val="24"/>
        </w:rPr>
        <w:t>Logistic Regression achieved the highest ROC-AUC (0.8485) and F1-score (0.700), closely followed by Random Forest (ROC-AUC 0.8431, F1 0.698). Gradient Boosting achieved the highest precision (0.704) but the lowest recall (0.626), indicating a more conservative classifier that accepts fewer false positives at the cost of missing more truly excluded individuals. The superiority of the linear model over ensemble methods on this dataset is analytically meaningful: it suggests that the relationship between KYC documentation status and financial exclusion is predominantly additive and linear in the log-odds space, with limited interaction effects requiring non-linear modelling capacity. This finding has practical implications — it validates the use of transparent, auditable linear models in regulatory and policy contexts where interpretability is paramount.</w:t>
      </w:r>
    </w:p>
    <w:p>
      <w:pPr>
        <w:spacing w:before="240" w:after="120" w:line="360" w:lineRule="exact"/>
        <w:jc w:val="left"/>
      </w:pPr>
      <w:r>
        <w:rPr>
          <w:rFonts w:ascii="Times New Roman" w:hAnsi="Times New Roman"/>
          <w:b/>
          <w:color w:val="000000"/>
          <w:sz w:val="24"/>
        </w:rPr>
        <w:t>4.2.5 Objective 5: Identify Most Affected Demographic Groups</w:t>
      </w:r>
    </w:p>
    <w:p>
      <w:pPr>
        <w:spacing w:before="0" w:after="120" w:line="360" w:lineRule="exact"/>
        <w:jc w:val="both"/>
      </w:pPr>
      <w:r>
        <w:rPr>
          <w:rFonts w:ascii="Times New Roman" w:hAnsi="Times New Roman"/>
          <w:b w:val="0"/>
          <w:color w:val="000000"/>
          <w:sz w:val="24"/>
        </w:rPr>
        <w:t>The FERI demographic summary identified five groups facing the most severe KYC-driven exclusion risk. Income Quintile 1 (lowest income) recorded the highest exclusion rate at 65.6% and the highest mean FERI score of 50.1, placing this group in the High Risk band on average. Rural residents (61.0% excluded, FERI 46.5) and adults with no formal education (59.6%, FERI 46.6) ranked second and third respectively. Unemployed individuals (46.6%, FERI 41.8) and workers in the informal employment sector (42.7%, FERI 35.9) completed the top five. By contrast, adults in formal employment (15.0% excluded, FERI 11.6) and in income quintile 5 (11.8%, FERI 11.5) recorded near-full financial inclusion, confirming the pronounced structural gradient in exclusion risk across socioeconomic lines.</w:t>
      </w:r>
    </w:p>
    <w:p>
      <w:pPr>
        <w:spacing w:before="240" w:after="120" w:line="420" w:lineRule="exact"/>
        <w:jc w:val="left"/>
      </w:pPr>
      <w:r>
        <w:rPr>
          <w:rFonts w:ascii="Times New Roman" w:hAnsi="Times New Roman"/>
          <w:b/>
          <w:color w:val="000000"/>
          <w:sz w:val="28"/>
        </w:rPr>
        <w:t>4.3 Descriptive Statistics and Visualisations</w:t>
      </w:r>
    </w:p>
    <w:p>
      <w:pPr>
        <w:spacing w:before="0" w:after="120" w:line="360" w:lineRule="exact"/>
        <w:jc w:val="both"/>
      </w:pPr>
      <w:r>
        <w:rPr>
          <w:rFonts w:ascii="Times New Roman" w:hAnsi="Times New Roman"/>
          <w:b w:val="0"/>
          <w:color w:val="000000"/>
          <w:sz w:val="24"/>
        </w:rPr>
        <w:t>The synthetic dataset of 5,000 observations contained zero missing values across all 17 variables, with numerical variables exhibiting distributions consistent with the Zimbabwean adult population. Table 4.1 presents summary statistics for the four continuous and ordinal variables included in the model.</w:t>
      </w:r>
    </w:p>
    <w:p>
      <w:pPr>
        <w:jc w:val="left"/>
      </w:pPr>
      <w:r>
        <w:rPr>
          <w:rFonts w:ascii="Times New Roman" w:hAnsi="Times New Roman"/>
          <w:b/>
          <w:color w:val="000000"/>
          <w:sz w:val="20"/>
        </w:rPr>
        <w:t>Table 4.1: Descriptive statistics of continuous variables (n = 5,000)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rFonts w:ascii="Times New Roman" w:hAnsi="Times New Roman"/>
                <w:b/>
                <w:color w:val="000000"/>
                <w:sz w:val="20"/>
              </w:rPr>
              <w:t>Variable</w:t>
            </w:r>
          </w:p>
        </w:tc>
        <w:tc>
          <w:tcPr>
            <w:tcW w:type="dxa" w:w="1170"/>
          </w:tcPr>
          <w:p>
            <w:pPr>
              <w:jc w:val="center"/>
            </w:pPr>
            <w:r>
              <w:rPr>
                <w:rFonts w:ascii="Times New Roman" w:hAnsi="Times New Roman"/>
                <w:b/>
                <w:color w:val="000000"/>
                <w:sz w:val="20"/>
              </w:rPr>
              <w:t>Mean</w:t>
            </w:r>
          </w:p>
        </w:tc>
        <w:tc>
          <w:tcPr>
            <w:tcW w:type="dxa" w:w="1170"/>
          </w:tcPr>
          <w:p>
            <w:pPr>
              <w:jc w:val="center"/>
            </w:pPr>
            <w:r>
              <w:rPr>
                <w:rFonts w:ascii="Times New Roman" w:hAnsi="Times New Roman"/>
                <w:b/>
                <w:color w:val="000000"/>
                <w:sz w:val="20"/>
              </w:rPr>
              <w:t>Std Dev</w:t>
            </w:r>
          </w:p>
        </w:tc>
        <w:tc>
          <w:tcPr>
            <w:tcW w:type="dxa" w:w="1170"/>
          </w:tcPr>
          <w:p>
            <w:pPr>
              <w:jc w:val="center"/>
            </w:pPr>
            <w:r>
              <w:rPr>
                <w:rFonts w:ascii="Times New Roman" w:hAnsi="Times New Roman"/>
                <w:b/>
                <w:color w:val="000000"/>
                <w:sz w:val="20"/>
              </w:rPr>
              <w:t>Min</w:t>
            </w:r>
          </w:p>
        </w:tc>
        <w:tc>
          <w:tcPr>
            <w:tcW w:type="dxa" w:w="1170"/>
          </w:tcPr>
          <w:p>
            <w:pPr>
              <w:jc w:val="center"/>
            </w:pPr>
            <w:r>
              <w:rPr>
                <w:rFonts w:ascii="Times New Roman" w:hAnsi="Times New Roman"/>
                <w:b/>
                <w:color w:val="000000"/>
                <w:sz w:val="20"/>
              </w:rPr>
              <w:t>Q1</w:t>
            </w:r>
          </w:p>
        </w:tc>
        <w:tc>
          <w:tcPr>
            <w:tcW w:type="dxa" w:w="1170"/>
          </w:tcPr>
          <w:p>
            <w:pPr>
              <w:jc w:val="center"/>
            </w:pPr>
            <w:r>
              <w:rPr>
                <w:rFonts w:ascii="Times New Roman" w:hAnsi="Times New Roman"/>
                <w:b/>
                <w:color w:val="000000"/>
                <w:sz w:val="20"/>
              </w:rPr>
              <w:t>Median</w:t>
            </w:r>
          </w:p>
        </w:tc>
        <w:tc>
          <w:tcPr>
            <w:tcW w:type="dxa" w:w="1170"/>
          </w:tcPr>
          <w:p>
            <w:pPr>
              <w:jc w:val="center"/>
            </w:pPr>
            <w:r>
              <w:rPr>
                <w:rFonts w:ascii="Times New Roman" w:hAnsi="Times New Roman"/>
                <w:b/>
                <w:color w:val="000000"/>
                <w:sz w:val="20"/>
              </w:rPr>
              <w:t>Q3</w:t>
            </w:r>
          </w:p>
        </w:tc>
        <w:tc>
          <w:tcPr>
            <w:tcW w:type="dxa" w:w="1170"/>
          </w:tcPr>
          <w:p>
            <w:pPr>
              <w:jc w:val="center"/>
            </w:pPr>
            <w:r>
              <w:rPr>
                <w:rFonts w:ascii="Times New Roman" w:hAnsi="Times New Roman"/>
                <w:b/>
                <w:color w:val="000000"/>
                <w:sz w:val="20"/>
              </w:rPr>
              <w:t>Max</w:t>
            </w:r>
          </w:p>
        </w:tc>
      </w:tr>
      <w:tr>
        <w:tc>
          <w:tcPr>
            <w:tcW w:type="dxa" w:w="1170"/>
          </w:tcPr>
          <w:p>
            <w:pPr>
              <w:jc w:val="center"/>
            </w:pPr>
            <w:r>
              <w:rPr>
                <w:rFonts w:ascii="Times New Roman" w:hAnsi="Times New Roman"/>
                <w:b w:val="0"/>
                <w:color w:val="000000"/>
                <w:sz w:val="20"/>
              </w:rPr>
              <w:t>Age (years)</w:t>
            </w:r>
          </w:p>
        </w:tc>
        <w:tc>
          <w:tcPr>
            <w:tcW w:type="dxa" w:w="1170"/>
          </w:tcPr>
          <w:p>
            <w:pPr>
              <w:jc w:val="center"/>
            </w:pPr>
            <w:r>
              <w:rPr>
                <w:rFonts w:ascii="Times New Roman" w:hAnsi="Times New Roman"/>
                <w:b w:val="0"/>
                <w:color w:val="000000"/>
                <w:sz w:val="20"/>
              </w:rPr>
              <w:t>37.88</w:t>
            </w:r>
          </w:p>
        </w:tc>
        <w:tc>
          <w:tcPr>
            <w:tcW w:type="dxa" w:w="1170"/>
          </w:tcPr>
          <w:p>
            <w:pPr>
              <w:jc w:val="center"/>
            </w:pPr>
            <w:r>
              <w:rPr>
                <w:rFonts w:ascii="Times New Roman" w:hAnsi="Times New Roman"/>
                <w:b w:val="0"/>
                <w:color w:val="000000"/>
                <w:sz w:val="20"/>
              </w:rPr>
              <w:t>13.06</w:t>
            </w:r>
          </w:p>
        </w:tc>
        <w:tc>
          <w:tcPr>
            <w:tcW w:type="dxa" w:w="1170"/>
          </w:tcPr>
          <w:p>
            <w:pPr>
              <w:jc w:val="center"/>
            </w:pPr>
            <w:r>
              <w:rPr>
                <w:rFonts w:ascii="Times New Roman" w:hAnsi="Times New Roman"/>
                <w:b w:val="0"/>
                <w:color w:val="000000"/>
                <w:sz w:val="20"/>
              </w:rPr>
              <w:t>18</w:t>
            </w:r>
          </w:p>
        </w:tc>
        <w:tc>
          <w:tcPr>
            <w:tcW w:type="dxa" w:w="1170"/>
          </w:tcPr>
          <w:p>
            <w:pPr>
              <w:jc w:val="center"/>
            </w:pPr>
            <w:r>
              <w:rPr>
                <w:rFonts w:ascii="Times New Roman" w:hAnsi="Times New Roman"/>
                <w:b w:val="0"/>
                <w:color w:val="000000"/>
                <w:sz w:val="20"/>
              </w:rPr>
              <w:t>28</w:t>
            </w:r>
          </w:p>
        </w:tc>
        <w:tc>
          <w:tcPr>
            <w:tcW w:type="dxa" w:w="1170"/>
          </w:tcPr>
          <w:p>
            <w:pPr>
              <w:jc w:val="center"/>
            </w:pPr>
            <w:r>
              <w:rPr>
                <w:rFonts w:ascii="Times New Roman" w:hAnsi="Times New Roman"/>
                <w:b w:val="0"/>
                <w:color w:val="000000"/>
                <w:sz w:val="20"/>
              </w:rPr>
              <w:t>37</w:t>
            </w:r>
          </w:p>
        </w:tc>
        <w:tc>
          <w:tcPr>
            <w:tcW w:type="dxa" w:w="1170"/>
          </w:tcPr>
          <w:p>
            <w:pPr>
              <w:jc w:val="center"/>
            </w:pPr>
            <w:r>
              <w:rPr>
                <w:rFonts w:ascii="Times New Roman" w:hAnsi="Times New Roman"/>
                <w:b w:val="0"/>
                <w:color w:val="000000"/>
                <w:sz w:val="20"/>
              </w:rPr>
              <w:t>47</w:t>
            </w:r>
          </w:p>
        </w:tc>
        <w:tc>
          <w:tcPr>
            <w:tcW w:type="dxa" w:w="1170"/>
          </w:tcPr>
          <w:p>
            <w:pPr>
              <w:jc w:val="center"/>
            </w:pPr>
            <w:r>
              <w:rPr>
                <w:rFonts w:ascii="Times New Roman" w:hAnsi="Times New Roman"/>
                <w:b w:val="0"/>
                <w:color w:val="000000"/>
                <w:sz w:val="20"/>
              </w:rPr>
              <w:t>80</w:t>
            </w:r>
          </w:p>
        </w:tc>
      </w:tr>
      <w:tr>
        <w:tc>
          <w:tcPr>
            <w:tcW w:type="dxa" w:w="1170"/>
          </w:tcPr>
          <w:p>
            <w:pPr>
              <w:jc w:val="center"/>
            </w:pPr>
            <w:r>
              <w:rPr>
                <w:rFonts w:ascii="Times New Roman" w:hAnsi="Times New Roman"/>
                <w:b w:val="0"/>
                <w:color w:val="000000"/>
                <w:sz w:val="20"/>
              </w:rPr>
              <w:t>Income Quintile (1–5)</w:t>
            </w:r>
          </w:p>
        </w:tc>
        <w:tc>
          <w:tcPr>
            <w:tcW w:type="dxa" w:w="1170"/>
          </w:tcPr>
          <w:p>
            <w:pPr>
              <w:jc w:val="center"/>
            </w:pPr>
            <w:r>
              <w:rPr>
                <w:rFonts w:ascii="Times New Roman" w:hAnsi="Times New Roman"/>
                <w:b w:val="0"/>
                <w:color w:val="000000"/>
                <w:sz w:val="20"/>
              </w:rPr>
              <w:t>3.00</w:t>
            </w:r>
          </w:p>
        </w:tc>
        <w:tc>
          <w:tcPr>
            <w:tcW w:type="dxa" w:w="1170"/>
          </w:tcPr>
          <w:p>
            <w:pPr>
              <w:jc w:val="center"/>
            </w:pPr>
            <w:r>
              <w:rPr>
                <w:rFonts w:ascii="Times New Roman" w:hAnsi="Times New Roman"/>
                <w:b w:val="0"/>
                <w:color w:val="000000"/>
                <w:sz w:val="20"/>
              </w:rPr>
              <w:t>1.41</w:t>
            </w:r>
          </w:p>
        </w:tc>
        <w:tc>
          <w:tcPr>
            <w:tcW w:type="dxa" w:w="1170"/>
          </w:tcPr>
          <w:p>
            <w:pPr>
              <w:jc w:val="center"/>
            </w:pPr>
            <w:r>
              <w:rPr>
                <w:rFonts w:ascii="Times New Roman" w:hAnsi="Times New Roman"/>
                <w:b w:val="0"/>
                <w:color w:val="000000"/>
                <w:sz w:val="20"/>
              </w:rPr>
              <w:t>1</w:t>
            </w:r>
          </w:p>
        </w:tc>
        <w:tc>
          <w:tcPr>
            <w:tcW w:type="dxa" w:w="1170"/>
          </w:tcPr>
          <w:p>
            <w:pPr>
              <w:jc w:val="center"/>
            </w:pPr>
            <w:r>
              <w:rPr>
                <w:rFonts w:ascii="Times New Roman" w:hAnsi="Times New Roman"/>
                <w:b w:val="0"/>
                <w:color w:val="000000"/>
                <w:sz w:val="20"/>
              </w:rPr>
              <w:t>2</w:t>
            </w:r>
          </w:p>
        </w:tc>
        <w:tc>
          <w:tcPr>
            <w:tcW w:type="dxa" w:w="1170"/>
          </w:tcPr>
          <w:p>
            <w:pPr>
              <w:jc w:val="center"/>
            </w:pPr>
            <w:r>
              <w:rPr>
                <w:rFonts w:ascii="Times New Roman" w:hAnsi="Times New Roman"/>
                <w:b w:val="0"/>
                <w:color w:val="000000"/>
                <w:sz w:val="20"/>
              </w:rPr>
              <w:t>3</w:t>
            </w:r>
          </w:p>
        </w:tc>
        <w:tc>
          <w:tcPr>
            <w:tcW w:type="dxa" w:w="1170"/>
          </w:tcPr>
          <w:p>
            <w:pPr>
              <w:jc w:val="center"/>
            </w:pPr>
            <w:r>
              <w:rPr>
                <w:rFonts w:ascii="Times New Roman" w:hAnsi="Times New Roman"/>
                <w:b w:val="0"/>
                <w:color w:val="000000"/>
                <w:sz w:val="20"/>
              </w:rPr>
              <w:t>4</w:t>
            </w:r>
          </w:p>
        </w:tc>
        <w:tc>
          <w:tcPr>
            <w:tcW w:type="dxa" w:w="1170"/>
          </w:tcPr>
          <w:p>
            <w:pPr>
              <w:jc w:val="center"/>
            </w:pPr>
            <w:r>
              <w:rPr>
                <w:rFonts w:ascii="Times New Roman" w:hAnsi="Times New Roman"/>
                <w:b w:val="0"/>
                <w:color w:val="000000"/>
                <w:sz w:val="20"/>
              </w:rPr>
              <w:t>5</w:t>
            </w:r>
          </w:p>
        </w:tc>
      </w:tr>
      <w:tr>
        <w:tc>
          <w:tcPr>
            <w:tcW w:type="dxa" w:w="1170"/>
          </w:tcPr>
          <w:p>
            <w:pPr>
              <w:jc w:val="center"/>
            </w:pPr>
            <w:r>
              <w:rPr>
                <w:rFonts w:ascii="Times New Roman" w:hAnsi="Times New Roman"/>
                <w:b w:val="0"/>
                <w:color w:val="000000"/>
                <w:sz w:val="20"/>
              </w:rPr>
              <w:t>KYC Documentation Score</w:t>
            </w:r>
          </w:p>
        </w:tc>
        <w:tc>
          <w:tcPr>
            <w:tcW w:type="dxa" w:w="1170"/>
          </w:tcPr>
          <w:p>
            <w:pPr>
              <w:jc w:val="center"/>
            </w:pPr>
            <w:r>
              <w:rPr>
                <w:rFonts w:ascii="Times New Roman" w:hAnsi="Times New Roman"/>
                <w:b w:val="0"/>
                <w:color w:val="000000"/>
                <w:sz w:val="20"/>
              </w:rPr>
              <w:t>2.52</w:t>
            </w:r>
          </w:p>
        </w:tc>
        <w:tc>
          <w:tcPr>
            <w:tcW w:type="dxa" w:w="1170"/>
          </w:tcPr>
          <w:p>
            <w:pPr>
              <w:jc w:val="center"/>
            </w:pPr>
            <w:r>
              <w:rPr>
                <w:rFonts w:ascii="Times New Roman" w:hAnsi="Times New Roman"/>
                <w:b w:val="0"/>
                <w:color w:val="000000"/>
                <w:sz w:val="20"/>
              </w:rPr>
              <w:t>1.05</w:t>
            </w:r>
          </w:p>
        </w:tc>
        <w:tc>
          <w:tcPr>
            <w:tcW w:type="dxa" w:w="1170"/>
          </w:tcPr>
          <w:p>
            <w:pPr>
              <w:jc w:val="center"/>
            </w:pPr>
            <w:r>
              <w:rPr>
                <w:rFonts w:ascii="Times New Roman" w:hAnsi="Times New Roman"/>
                <w:b w:val="0"/>
                <w:color w:val="000000"/>
                <w:sz w:val="20"/>
              </w:rPr>
              <w:t>0</w:t>
            </w:r>
          </w:p>
        </w:tc>
        <w:tc>
          <w:tcPr>
            <w:tcW w:type="dxa" w:w="1170"/>
          </w:tcPr>
          <w:p>
            <w:pPr>
              <w:jc w:val="center"/>
            </w:pPr>
            <w:r>
              <w:rPr>
                <w:rFonts w:ascii="Times New Roman" w:hAnsi="Times New Roman"/>
                <w:b w:val="0"/>
                <w:color w:val="000000"/>
                <w:sz w:val="20"/>
              </w:rPr>
              <w:t>2</w:t>
            </w:r>
          </w:p>
        </w:tc>
        <w:tc>
          <w:tcPr>
            <w:tcW w:type="dxa" w:w="1170"/>
          </w:tcPr>
          <w:p>
            <w:pPr>
              <w:jc w:val="center"/>
            </w:pPr>
            <w:r>
              <w:rPr>
                <w:rFonts w:ascii="Times New Roman" w:hAnsi="Times New Roman"/>
                <w:b w:val="0"/>
                <w:color w:val="000000"/>
                <w:sz w:val="20"/>
              </w:rPr>
              <w:t>3</w:t>
            </w:r>
          </w:p>
        </w:tc>
        <w:tc>
          <w:tcPr>
            <w:tcW w:type="dxa" w:w="1170"/>
          </w:tcPr>
          <w:p>
            <w:pPr>
              <w:jc w:val="center"/>
            </w:pPr>
            <w:r>
              <w:rPr>
                <w:rFonts w:ascii="Times New Roman" w:hAnsi="Times New Roman"/>
                <w:b w:val="0"/>
                <w:color w:val="000000"/>
                <w:sz w:val="20"/>
              </w:rPr>
              <w:t>3</w:t>
            </w:r>
          </w:p>
        </w:tc>
        <w:tc>
          <w:tcPr>
            <w:tcW w:type="dxa" w:w="1170"/>
          </w:tcPr>
          <w:p>
            <w:pPr>
              <w:jc w:val="center"/>
            </w:pPr>
            <w:r>
              <w:rPr>
                <w:rFonts w:ascii="Times New Roman" w:hAnsi="Times New Roman"/>
                <w:b w:val="0"/>
                <w:color w:val="000000"/>
                <w:sz w:val="20"/>
              </w:rPr>
              <w:t>4</w:t>
            </w:r>
          </w:p>
        </w:tc>
      </w:tr>
      <w:tr>
        <w:tc>
          <w:tcPr>
            <w:tcW w:type="dxa" w:w="1170"/>
          </w:tcPr>
          <w:p>
            <w:pPr>
              <w:jc w:val="center"/>
            </w:pPr>
            <w:r>
              <w:rPr>
                <w:rFonts w:ascii="Times New Roman" w:hAnsi="Times New Roman"/>
                <w:b w:val="0"/>
                <w:color w:val="000000"/>
                <w:sz w:val="20"/>
              </w:rPr>
              <w:t>Distance to Branch (km)</w:t>
            </w:r>
          </w:p>
        </w:tc>
        <w:tc>
          <w:tcPr>
            <w:tcW w:type="dxa" w:w="1170"/>
          </w:tcPr>
          <w:p>
            <w:pPr>
              <w:jc w:val="center"/>
            </w:pPr>
            <w:r>
              <w:rPr>
                <w:rFonts w:ascii="Times New Roman" w:hAnsi="Times New Roman"/>
                <w:b w:val="0"/>
                <w:color w:val="000000"/>
                <w:sz w:val="20"/>
              </w:rPr>
              <w:t>11.19</w:t>
            </w:r>
          </w:p>
        </w:tc>
        <w:tc>
          <w:tcPr>
            <w:tcW w:type="dxa" w:w="1170"/>
          </w:tcPr>
          <w:p>
            <w:pPr>
              <w:jc w:val="center"/>
            </w:pPr>
            <w:r>
              <w:rPr>
                <w:rFonts w:ascii="Times New Roman" w:hAnsi="Times New Roman"/>
                <w:b w:val="0"/>
                <w:color w:val="000000"/>
                <w:sz w:val="20"/>
              </w:rPr>
              <w:t>17.43</w:t>
            </w:r>
          </w:p>
        </w:tc>
        <w:tc>
          <w:tcPr>
            <w:tcW w:type="dxa" w:w="1170"/>
          </w:tcPr>
          <w:p>
            <w:pPr>
              <w:jc w:val="center"/>
            </w:pPr>
            <w:r>
              <w:rPr>
                <w:rFonts w:ascii="Times New Roman" w:hAnsi="Times New Roman"/>
                <w:b w:val="0"/>
                <w:color w:val="000000"/>
                <w:sz w:val="20"/>
              </w:rPr>
              <w:t>0.1</w:t>
            </w:r>
          </w:p>
        </w:tc>
        <w:tc>
          <w:tcPr>
            <w:tcW w:type="dxa" w:w="1170"/>
          </w:tcPr>
          <w:p>
            <w:pPr>
              <w:jc w:val="center"/>
            </w:pPr>
            <w:r>
              <w:rPr>
                <w:rFonts w:ascii="Times New Roman" w:hAnsi="Times New Roman"/>
                <w:b w:val="0"/>
                <w:color w:val="000000"/>
                <w:sz w:val="20"/>
              </w:rPr>
              <w:t>1.5</w:t>
            </w:r>
          </w:p>
        </w:tc>
        <w:tc>
          <w:tcPr>
            <w:tcW w:type="dxa" w:w="1170"/>
          </w:tcPr>
          <w:p>
            <w:pPr>
              <w:jc w:val="center"/>
            </w:pPr>
            <w:r>
              <w:rPr>
                <w:rFonts w:ascii="Times New Roman" w:hAnsi="Times New Roman"/>
                <w:b w:val="0"/>
                <w:color w:val="000000"/>
                <w:sz w:val="20"/>
              </w:rPr>
              <w:t>4.1</w:t>
            </w:r>
          </w:p>
        </w:tc>
        <w:tc>
          <w:tcPr>
            <w:tcW w:type="dxa" w:w="1170"/>
          </w:tcPr>
          <w:p>
            <w:pPr>
              <w:jc w:val="center"/>
            </w:pPr>
            <w:r>
              <w:rPr>
                <w:rFonts w:ascii="Times New Roman" w:hAnsi="Times New Roman"/>
                <w:b w:val="0"/>
                <w:color w:val="000000"/>
                <w:sz w:val="20"/>
              </w:rPr>
              <w:t>12.6</w:t>
            </w:r>
          </w:p>
        </w:tc>
        <w:tc>
          <w:tcPr>
            <w:tcW w:type="dxa" w:w="1170"/>
          </w:tcPr>
          <w:p>
            <w:pPr>
              <w:jc w:val="center"/>
            </w:pPr>
            <w:r>
              <w:rPr>
                <w:rFonts w:ascii="Times New Roman" w:hAnsi="Times New Roman"/>
                <w:b w:val="0"/>
                <w:color w:val="000000"/>
                <w:sz w:val="20"/>
              </w:rPr>
              <w:t>150</w:t>
            </w:r>
          </w:p>
        </w:tc>
      </w:tr>
    </w:tbl>
    <w:p/>
    <w:p>
      <w:pPr>
        <w:spacing w:before="0" w:after="120" w:line="360" w:lineRule="exact"/>
        <w:jc w:val="both"/>
      </w:pPr>
      <w:r>
        <w:rPr>
          <w:rFonts w:ascii="Times New Roman" w:hAnsi="Times New Roman"/>
          <w:b w:val="0"/>
          <w:color w:val="000000"/>
          <w:sz w:val="24"/>
        </w:rPr>
        <w:t>The target variable distribution showed 3,182 financially included individuals (63.6%) and 1,818 financially excluded individuals (36.4%), a class ratio broadly consistent with the FinScope 2022 finding of 38% exclusion. Figure 1 (outputs/figures/fig1_exclusion_overview.png) illustrates the exclusion rate by location, gender, and employment sector. The most pronounced differentials were observed between urban (16.9%) and rural (61.0%) residents — a gap of 44.1 percentage points — and between formally employed (15.0%) and unemployed (46.6%) adults. Figure 2 (fig2_kyc_documentation.png) demonstrates that document possession rates are systematically lower in rural areas across all four KYC document types, with the proof-of-address gap being largest: urban residents hold proof of address at approximately twice the rate of rural residents.</w:t>
      </w:r>
    </w:p>
    <w:p>
      <w:pPr>
        <w:spacing w:before="0" w:after="120" w:line="360" w:lineRule="exact"/>
        <w:jc w:val="both"/>
      </w:pPr>
      <w:r>
        <w:rPr>
          <w:rFonts w:ascii="Times New Roman" w:hAnsi="Times New Roman"/>
          <w:b w:val="0"/>
          <w:color w:val="000000"/>
          <w:sz w:val="24"/>
        </w:rPr>
        <w:t>Figure 3 (fig3_income_age.png) reveals a clear income gradient in exclusion: exclusion rates decline monotonically from approximately 65% in income quintile 1 to under 15% in income quintile 5, with the gradient steeper in rural areas. The cross-tabulation heatmap (fig3b_heatmap.png) confirms that the highest exclusion rates are concentrated in the rural-unemployed cell (approximately 73%), while the urban-formal cell records near-complete inclusion (approximately 12%).</w:t>
      </w:r>
    </w:p>
    <w:p>
      <w:pPr>
        <w:jc w:val="left"/>
      </w:pPr>
      <w:r>
        <w:rPr>
          <w:rFonts w:ascii="Times New Roman" w:hAnsi="Times New Roman"/>
          <w:b/>
          <w:color w:val="000000"/>
          <w:sz w:val="20"/>
        </w:rPr>
        <w:t>Table 4.2: Exclusion rates and mean FERI scores by demographic group</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color w:val="000000"/>
                <w:sz w:val="20"/>
              </w:rPr>
              <w:t>Category</w:t>
            </w:r>
          </w:p>
        </w:tc>
        <w:tc>
          <w:tcPr>
            <w:tcW w:type="dxa" w:w="1872"/>
          </w:tcPr>
          <w:p>
            <w:pPr>
              <w:jc w:val="center"/>
            </w:pPr>
            <w:r>
              <w:rPr>
                <w:rFonts w:ascii="Times New Roman" w:hAnsi="Times New Roman"/>
                <w:b/>
                <w:color w:val="000000"/>
                <w:sz w:val="20"/>
              </w:rPr>
              <w:t>Group</w:t>
            </w:r>
          </w:p>
        </w:tc>
        <w:tc>
          <w:tcPr>
            <w:tcW w:type="dxa" w:w="1872"/>
          </w:tcPr>
          <w:p>
            <w:pPr>
              <w:jc w:val="center"/>
            </w:pPr>
            <w:r>
              <w:rPr>
                <w:rFonts w:ascii="Times New Roman" w:hAnsi="Times New Roman"/>
                <w:b/>
                <w:color w:val="000000"/>
                <w:sz w:val="20"/>
              </w:rPr>
              <w:t>N</w:t>
            </w:r>
          </w:p>
        </w:tc>
        <w:tc>
          <w:tcPr>
            <w:tcW w:type="dxa" w:w="1872"/>
          </w:tcPr>
          <w:p>
            <w:pPr>
              <w:jc w:val="center"/>
            </w:pPr>
            <w:r>
              <w:rPr>
                <w:rFonts w:ascii="Times New Roman" w:hAnsi="Times New Roman"/>
                <w:b/>
                <w:color w:val="000000"/>
                <w:sz w:val="20"/>
              </w:rPr>
              <w:t>Exclusion Rate (%)</w:t>
            </w:r>
          </w:p>
        </w:tc>
        <w:tc>
          <w:tcPr>
            <w:tcW w:type="dxa" w:w="1872"/>
          </w:tcPr>
          <w:p>
            <w:pPr>
              <w:jc w:val="center"/>
            </w:pPr>
            <w:r>
              <w:rPr>
                <w:rFonts w:ascii="Times New Roman" w:hAnsi="Times New Roman"/>
                <w:b/>
                <w:color w:val="000000"/>
                <w:sz w:val="20"/>
              </w:rPr>
              <w:t>Mean FERI</w:t>
            </w:r>
          </w:p>
        </w:tc>
      </w:tr>
      <w:tr>
        <w:tc>
          <w:tcPr>
            <w:tcW w:type="dxa" w:w="1872"/>
          </w:tcPr>
          <w:p>
            <w:pPr>
              <w:jc w:val="center"/>
            </w:pPr>
            <w:r>
              <w:rPr>
                <w:rFonts w:ascii="Times New Roman" w:hAnsi="Times New Roman"/>
                <w:b w:val="0"/>
                <w:color w:val="000000"/>
                <w:sz w:val="20"/>
              </w:rPr>
              <w:t>Location</w:t>
            </w:r>
          </w:p>
        </w:tc>
        <w:tc>
          <w:tcPr>
            <w:tcW w:type="dxa" w:w="1872"/>
          </w:tcPr>
          <w:p>
            <w:pPr>
              <w:jc w:val="center"/>
            </w:pPr>
            <w:r>
              <w:rPr>
                <w:rFonts w:ascii="Times New Roman" w:hAnsi="Times New Roman"/>
                <w:b w:val="0"/>
                <w:color w:val="000000"/>
                <w:sz w:val="20"/>
              </w:rPr>
              <w:t>Urban</w:t>
            </w:r>
          </w:p>
        </w:tc>
        <w:tc>
          <w:tcPr>
            <w:tcW w:type="dxa" w:w="1872"/>
          </w:tcPr>
          <w:p>
            <w:pPr>
              <w:jc w:val="center"/>
            </w:pPr>
            <w:r>
              <w:rPr>
                <w:rFonts w:ascii="Times New Roman" w:hAnsi="Times New Roman"/>
                <w:b w:val="0"/>
                <w:color w:val="000000"/>
                <w:sz w:val="20"/>
              </w:rPr>
              <w:t>2,794</w:t>
            </w:r>
          </w:p>
        </w:tc>
        <w:tc>
          <w:tcPr>
            <w:tcW w:type="dxa" w:w="1872"/>
          </w:tcPr>
          <w:p>
            <w:pPr>
              <w:jc w:val="center"/>
            </w:pPr>
            <w:r>
              <w:rPr>
                <w:rFonts w:ascii="Times New Roman" w:hAnsi="Times New Roman"/>
                <w:b w:val="0"/>
                <w:color w:val="000000"/>
                <w:sz w:val="20"/>
              </w:rPr>
              <w:t>16.9</w:t>
            </w:r>
          </w:p>
        </w:tc>
        <w:tc>
          <w:tcPr>
            <w:tcW w:type="dxa" w:w="1872"/>
          </w:tcPr>
          <w:p>
            <w:pPr>
              <w:jc w:val="center"/>
            </w:pPr>
            <w:r>
              <w:rPr>
                <w:rFonts w:ascii="Times New Roman" w:hAnsi="Times New Roman"/>
                <w:b w:val="0"/>
                <w:color w:val="000000"/>
                <w:sz w:val="20"/>
              </w:rPr>
              <w:t>18.5</w:t>
            </w:r>
          </w:p>
        </w:tc>
      </w:tr>
      <w:tr>
        <w:tc>
          <w:tcPr>
            <w:tcW w:type="dxa" w:w="1872"/>
          </w:tcPr>
          <w:p>
            <w:pPr>
              <w:jc w:val="center"/>
            </w:pPr>
            <w:r>
              <w:rPr>
                <w:rFonts w:ascii="Times New Roman" w:hAnsi="Times New Roman"/>
                <w:b w:val="0"/>
                <w:color w:val="000000"/>
                <w:sz w:val="20"/>
              </w:rPr>
              <w:t>Location</w:t>
            </w:r>
          </w:p>
        </w:tc>
        <w:tc>
          <w:tcPr>
            <w:tcW w:type="dxa" w:w="1872"/>
          </w:tcPr>
          <w:p>
            <w:pPr>
              <w:jc w:val="center"/>
            </w:pPr>
            <w:r>
              <w:rPr>
                <w:rFonts w:ascii="Times New Roman" w:hAnsi="Times New Roman"/>
                <w:b w:val="0"/>
                <w:color w:val="000000"/>
                <w:sz w:val="20"/>
              </w:rPr>
              <w:t>Rural</w:t>
            </w:r>
          </w:p>
        </w:tc>
        <w:tc>
          <w:tcPr>
            <w:tcW w:type="dxa" w:w="1872"/>
          </w:tcPr>
          <w:p>
            <w:pPr>
              <w:jc w:val="center"/>
            </w:pPr>
            <w:r>
              <w:rPr>
                <w:rFonts w:ascii="Times New Roman" w:hAnsi="Times New Roman"/>
                <w:b w:val="0"/>
                <w:color w:val="000000"/>
                <w:sz w:val="20"/>
              </w:rPr>
              <w:t>2,206</w:t>
            </w:r>
          </w:p>
        </w:tc>
        <w:tc>
          <w:tcPr>
            <w:tcW w:type="dxa" w:w="1872"/>
          </w:tcPr>
          <w:p>
            <w:pPr>
              <w:jc w:val="center"/>
            </w:pPr>
            <w:r>
              <w:rPr>
                <w:rFonts w:ascii="Times New Roman" w:hAnsi="Times New Roman"/>
                <w:b w:val="0"/>
                <w:color w:val="000000"/>
                <w:sz w:val="20"/>
              </w:rPr>
              <w:t>61.0</w:t>
            </w:r>
          </w:p>
        </w:tc>
        <w:tc>
          <w:tcPr>
            <w:tcW w:type="dxa" w:w="1872"/>
          </w:tcPr>
          <w:p>
            <w:pPr>
              <w:jc w:val="center"/>
            </w:pPr>
            <w:r>
              <w:rPr>
                <w:rFonts w:ascii="Times New Roman" w:hAnsi="Times New Roman"/>
                <w:b w:val="0"/>
                <w:color w:val="000000"/>
                <w:sz w:val="20"/>
              </w:rPr>
              <w:t>46.5</w:t>
            </w:r>
          </w:p>
        </w:tc>
      </w:tr>
      <w:tr>
        <w:tc>
          <w:tcPr>
            <w:tcW w:type="dxa" w:w="1872"/>
          </w:tcPr>
          <w:p>
            <w:pPr>
              <w:jc w:val="center"/>
            </w:pPr>
            <w:r>
              <w:rPr>
                <w:rFonts w:ascii="Times New Roman" w:hAnsi="Times New Roman"/>
                <w:b w:val="0"/>
                <w:color w:val="000000"/>
                <w:sz w:val="20"/>
              </w:rPr>
              <w:t>Gender</w:t>
            </w:r>
          </w:p>
        </w:tc>
        <w:tc>
          <w:tcPr>
            <w:tcW w:type="dxa" w:w="1872"/>
          </w:tcPr>
          <w:p>
            <w:pPr>
              <w:jc w:val="center"/>
            </w:pPr>
            <w:r>
              <w:rPr>
                <w:rFonts w:ascii="Times New Roman" w:hAnsi="Times New Roman"/>
                <w:b w:val="0"/>
                <w:color w:val="000000"/>
                <w:sz w:val="20"/>
              </w:rPr>
              <w:t>Male</w:t>
            </w:r>
          </w:p>
        </w:tc>
        <w:tc>
          <w:tcPr>
            <w:tcW w:type="dxa" w:w="1872"/>
          </w:tcPr>
          <w:p>
            <w:pPr>
              <w:jc w:val="center"/>
            </w:pPr>
            <w:r>
              <w:rPr>
                <w:rFonts w:ascii="Times New Roman" w:hAnsi="Times New Roman"/>
                <w:b w:val="0"/>
                <w:color w:val="000000"/>
                <w:sz w:val="20"/>
              </w:rPr>
              <w:t>2,430</w:t>
            </w:r>
          </w:p>
        </w:tc>
        <w:tc>
          <w:tcPr>
            <w:tcW w:type="dxa" w:w="1872"/>
          </w:tcPr>
          <w:p>
            <w:pPr>
              <w:jc w:val="center"/>
            </w:pPr>
            <w:r>
              <w:rPr>
                <w:rFonts w:ascii="Times New Roman" w:hAnsi="Times New Roman"/>
                <w:b w:val="0"/>
                <w:color w:val="000000"/>
                <w:sz w:val="20"/>
              </w:rPr>
              <w:t>33.7</w:t>
            </w:r>
          </w:p>
        </w:tc>
        <w:tc>
          <w:tcPr>
            <w:tcW w:type="dxa" w:w="1872"/>
          </w:tcPr>
          <w:p>
            <w:pPr>
              <w:jc w:val="center"/>
            </w:pPr>
            <w:r>
              <w:rPr>
                <w:rFonts w:ascii="Times New Roman" w:hAnsi="Times New Roman"/>
                <w:b w:val="0"/>
                <w:color w:val="000000"/>
                <w:sz w:val="20"/>
              </w:rPr>
              <w:t>28.4</w:t>
            </w:r>
          </w:p>
        </w:tc>
      </w:tr>
      <w:tr>
        <w:tc>
          <w:tcPr>
            <w:tcW w:type="dxa" w:w="1872"/>
          </w:tcPr>
          <w:p>
            <w:pPr>
              <w:jc w:val="center"/>
            </w:pPr>
            <w:r>
              <w:rPr>
                <w:rFonts w:ascii="Times New Roman" w:hAnsi="Times New Roman"/>
                <w:b w:val="0"/>
                <w:color w:val="000000"/>
                <w:sz w:val="20"/>
              </w:rPr>
              <w:t>Gender</w:t>
            </w:r>
          </w:p>
        </w:tc>
        <w:tc>
          <w:tcPr>
            <w:tcW w:type="dxa" w:w="1872"/>
          </w:tcPr>
          <w:p>
            <w:pPr>
              <w:jc w:val="center"/>
            </w:pPr>
            <w:r>
              <w:rPr>
                <w:rFonts w:ascii="Times New Roman" w:hAnsi="Times New Roman"/>
                <w:b w:val="0"/>
                <w:color w:val="000000"/>
                <w:sz w:val="20"/>
              </w:rPr>
              <w:t>Female</w:t>
            </w:r>
          </w:p>
        </w:tc>
        <w:tc>
          <w:tcPr>
            <w:tcW w:type="dxa" w:w="1872"/>
          </w:tcPr>
          <w:p>
            <w:pPr>
              <w:jc w:val="center"/>
            </w:pPr>
            <w:r>
              <w:rPr>
                <w:rFonts w:ascii="Times New Roman" w:hAnsi="Times New Roman"/>
                <w:b w:val="0"/>
                <w:color w:val="000000"/>
                <w:sz w:val="20"/>
              </w:rPr>
              <w:t>2,570</w:t>
            </w:r>
          </w:p>
        </w:tc>
        <w:tc>
          <w:tcPr>
            <w:tcW w:type="dxa" w:w="1872"/>
          </w:tcPr>
          <w:p>
            <w:pPr>
              <w:jc w:val="center"/>
            </w:pPr>
            <w:r>
              <w:rPr>
                <w:rFonts w:ascii="Times New Roman" w:hAnsi="Times New Roman"/>
                <w:b w:val="0"/>
                <w:color w:val="000000"/>
                <w:sz w:val="20"/>
              </w:rPr>
              <w:t>38.9</w:t>
            </w:r>
          </w:p>
        </w:tc>
        <w:tc>
          <w:tcPr>
            <w:tcW w:type="dxa" w:w="1872"/>
          </w:tcPr>
          <w:p>
            <w:pPr>
              <w:jc w:val="center"/>
            </w:pPr>
            <w:r>
              <w:rPr>
                <w:rFonts w:ascii="Times New Roman" w:hAnsi="Times New Roman"/>
                <w:b w:val="0"/>
                <w:color w:val="000000"/>
                <w:sz w:val="20"/>
              </w:rPr>
              <w:t>33.1</w:t>
            </w:r>
          </w:p>
        </w:tc>
      </w:tr>
      <w:tr>
        <w:tc>
          <w:tcPr>
            <w:tcW w:type="dxa" w:w="1872"/>
          </w:tcPr>
          <w:p>
            <w:pPr>
              <w:jc w:val="center"/>
            </w:pPr>
            <w:r>
              <w:rPr>
                <w:rFonts w:ascii="Times New Roman" w:hAnsi="Times New Roman"/>
                <w:b w:val="0"/>
                <w:color w:val="000000"/>
                <w:sz w:val="20"/>
              </w:rPr>
              <w:t>Employment</w:t>
            </w:r>
          </w:p>
        </w:tc>
        <w:tc>
          <w:tcPr>
            <w:tcW w:type="dxa" w:w="1872"/>
          </w:tcPr>
          <w:p>
            <w:pPr>
              <w:jc w:val="center"/>
            </w:pPr>
            <w:r>
              <w:rPr>
                <w:rFonts w:ascii="Times New Roman" w:hAnsi="Times New Roman"/>
                <w:b w:val="0"/>
                <w:color w:val="000000"/>
                <w:sz w:val="20"/>
              </w:rPr>
              <w:t>Formal</w:t>
            </w:r>
          </w:p>
        </w:tc>
        <w:tc>
          <w:tcPr>
            <w:tcW w:type="dxa" w:w="1872"/>
          </w:tcPr>
          <w:p>
            <w:pPr>
              <w:jc w:val="center"/>
            </w:pPr>
            <w:r>
              <w:rPr>
                <w:rFonts w:ascii="Times New Roman" w:hAnsi="Times New Roman"/>
                <w:b w:val="0"/>
                <w:color w:val="000000"/>
                <w:sz w:val="20"/>
              </w:rPr>
              <w:t>1,285</w:t>
            </w:r>
          </w:p>
        </w:tc>
        <w:tc>
          <w:tcPr>
            <w:tcW w:type="dxa" w:w="1872"/>
          </w:tcPr>
          <w:p>
            <w:pPr>
              <w:jc w:val="center"/>
            </w:pPr>
            <w:r>
              <w:rPr>
                <w:rFonts w:ascii="Times New Roman" w:hAnsi="Times New Roman"/>
                <w:b w:val="0"/>
                <w:color w:val="000000"/>
                <w:sz w:val="20"/>
              </w:rPr>
              <w:t>15.0</w:t>
            </w:r>
          </w:p>
        </w:tc>
        <w:tc>
          <w:tcPr>
            <w:tcW w:type="dxa" w:w="1872"/>
          </w:tcPr>
          <w:p>
            <w:pPr>
              <w:jc w:val="center"/>
            </w:pPr>
            <w:r>
              <w:rPr>
                <w:rFonts w:ascii="Times New Roman" w:hAnsi="Times New Roman"/>
                <w:b w:val="0"/>
                <w:color w:val="000000"/>
                <w:sz w:val="20"/>
              </w:rPr>
              <w:t>11.6</w:t>
            </w:r>
          </w:p>
        </w:tc>
      </w:tr>
      <w:tr>
        <w:tc>
          <w:tcPr>
            <w:tcW w:type="dxa" w:w="1872"/>
          </w:tcPr>
          <w:p>
            <w:pPr>
              <w:jc w:val="center"/>
            </w:pPr>
            <w:r>
              <w:rPr>
                <w:rFonts w:ascii="Times New Roman" w:hAnsi="Times New Roman"/>
                <w:b w:val="0"/>
                <w:color w:val="000000"/>
                <w:sz w:val="20"/>
              </w:rPr>
              <w:t>Employment</w:t>
            </w:r>
          </w:p>
        </w:tc>
        <w:tc>
          <w:tcPr>
            <w:tcW w:type="dxa" w:w="1872"/>
          </w:tcPr>
          <w:p>
            <w:pPr>
              <w:jc w:val="center"/>
            </w:pPr>
            <w:r>
              <w:rPr>
                <w:rFonts w:ascii="Times New Roman" w:hAnsi="Times New Roman"/>
                <w:b w:val="0"/>
                <w:color w:val="000000"/>
                <w:sz w:val="20"/>
              </w:rPr>
              <w:t>Informal</w:t>
            </w:r>
          </w:p>
        </w:tc>
        <w:tc>
          <w:tcPr>
            <w:tcW w:type="dxa" w:w="1872"/>
          </w:tcPr>
          <w:p>
            <w:pPr>
              <w:jc w:val="center"/>
            </w:pPr>
            <w:r>
              <w:rPr>
                <w:rFonts w:ascii="Times New Roman" w:hAnsi="Times New Roman"/>
                <w:b w:val="0"/>
                <w:color w:val="000000"/>
                <w:sz w:val="20"/>
              </w:rPr>
              <w:t>2,698</w:t>
            </w:r>
          </w:p>
        </w:tc>
        <w:tc>
          <w:tcPr>
            <w:tcW w:type="dxa" w:w="1872"/>
          </w:tcPr>
          <w:p>
            <w:pPr>
              <w:jc w:val="center"/>
            </w:pPr>
            <w:r>
              <w:rPr>
                <w:rFonts w:ascii="Times New Roman" w:hAnsi="Times New Roman"/>
                <w:b w:val="0"/>
                <w:color w:val="000000"/>
                <w:sz w:val="20"/>
              </w:rPr>
              <w:t>42.7</w:t>
            </w:r>
          </w:p>
        </w:tc>
        <w:tc>
          <w:tcPr>
            <w:tcW w:type="dxa" w:w="1872"/>
          </w:tcPr>
          <w:p>
            <w:pPr>
              <w:jc w:val="center"/>
            </w:pPr>
            <w:r>
              <w:rPr>
                <w:rFonts w:ascii="Times New Roman" w:hAnsi="Times New Roman"/>
                <w:b w:val="0"/>
                <w:color w:val="000000"/>
                <w:sz w:val="20"/>
              </w:rPr>
              <w:t>35.9</w:t>
            </w:r>
          </w:p>
        </w:tc>
      </w:tr>
      <w:tr>
        <w:tc>
          <w:tcPr>
            <w:tcW w:type="dxa" w:w="1872"/>
          </w:tcPr>
          <w:p>
            <w:pPr>
              <w:jc w:val="center"/>
            </w:pPr>
            <w:r>
              <w:rPr>
                <w:rFonts w:ascii="Times New Roman" w:hAnsi="Times New Roman"/>
                <w:b w:val="0"/>
                <w:color w:val="000000"/>
                <w:sz w:val="20"/>
              </w:rPr>
              <w:t>Employment</w:t>
            </w:r>
          </w:p>
        </w:tc>
        <w:tc>
          <w:tcPr>
            <w:tcW w:type="dxa" w:w="1872"/>
          </w:tcPr>
          <w:p>
            <w:pPr>
              <w:jc w:val="center"/>
            </w:pPr>
            <w:r>
              <w:rPr>
                <w:rFonts w:ascii="Times New Roman" w:hAnsi="Times New Roman"/>
                <w:b w:val="0"/>
                <w:color w:val="000000"/>
                <w:sz w:val="20"/>
              </w:rPr>
              <w:t>Unemployed</w:t>
            </w:r>
          </w:p>
        </w:tc>
        <w:tc>
          <w:tcPr>
            <w:tcW w:type="dxa" w:w="1872"/>
          </w:tcPr>
          <w:p>
            <w:pPr>
              <w:jc w:val="center"/>
            </w:pPr>
            <w:r>
              <w:rPr>
                <w:rFonts w:ascii="Times New Roman" w:hAnsi="Times New Roman"/>
                <w:b w:val="0"/>
                <w:color w:val="000000"/>
                <w:sz w:val="20"/>
              </w:rPr>
              <w:t>1,017</w:t>
            </w:r>
          </w:p>
        </w:tc>
        <w:tc>
          <w:tcPr>
            <w:tcW w:type="dxa" w:w="1872"/>
          </w:tcPr>
          <w:p>
            <w:pPr>
              <w:jc w:val="center"/>
            </w:pPr>
            <w:r>
              <w:rPr>
                <w:rFonts w:ascii="Times New Roman" w:hAnsi="Times New Roman"/>
                <w:b w:val="0"/>
                <w:color w:val="000000"/>
                <w:sz w:val="20"/>
              </w:rPr>
              <w:t>46.6</w:t>
            </w:r>
          </w:p>
        </w:tc>
        <w:tc>
          <w:tcPr>
            <w:tcW w:type="dxa" w:w="1872"/>
          </w:tcPr>
          <w:p>
            <w:pPr>
              <w:jc w:val="center"/>
            </w:pPr>
            <w:r>
              <w:rPr>
                <w:rFonts w:ascii="Times New Roman" w:hAnsi="Times New Roman"/>
                <w:b w:val="0"/>
                <w:color w:val="000000"/>
                <w:sz w:val="20"/>
              </w:rPr>
              <w:t>41.8</w:t>
            </w:r>
          </w:p>
        </w:tc>
      </w:tr>
      <w:tr>
        <w:tc>
          <w:tcPr>
            <w:tcW w:type="dxa" w:w="1872"/>
          </w:tcPr>
          <w:p>
            <w:pPr>
              <w:jc w:val="center"/>
            </w:pPr>
            <w:r>
              <w:rPr>
                <w:rFonts w:ascii="Times New Roman" w:hAnsi="Times New Roman"/>
                <w:b w:val="0"/>
                <w:color w:val="000000"/>
                <w:sz w:val="20"/>
              </w:rPr>
              <w:t>Income</w:t>
            </w:r>
          </w:p>
        </w:tc>
        <w:tc>
          <w:tcPr>
            <w:tcW w:type="dxa" w:w="1872"/>
          </w:tcPr>
          <w:p>
            <w:pPr>
              <w:jc w:val="center"/>
            </w:pPr>
            <w:r>
              <w:rPr>
                <w:rFonts w:ascii="Times New Roman" w:hAnsi="Times New Roman"/>
                <w:b w:val="0"/>
                <w:color w:val="000000"/>
                <w:sz w:val="20"/>
              </w:rPr>
              <w:t>Quintile 1 (Lowest)</w:t>
            </w:r>
          </w:p>
        </w:tc>
        <w:tc>
          <w:tcPr>
            <w:tcW w:type="dxa" w:w="1872"/>
          </w:tcPr>
          <w:p>
            <w:pPr>
              <w:jc w:val="center"/>
            </w:pPr>
            <w:r>
              <w:rPr>
                <w:rFonts w:ascii="Times New Roman" w:hAnsi="Times New Roman"/>
                <w:b w:val="0"/>
                <w:color w:val="000000"/>
                <w:sz w:val="20"/>
              </w:rPr>
              <w:t>1,000</w:t>
            </w:r>
          </w:p>
        </w:tc>
        <w:tc>
          <w:tcPr>
            <w:tcW w:type="dxa" w:w="1872"/>
          </w:tcPr>
          <w:p>
            <w:pPr>
              <w:jc w:val="center"/>
            </w:pPr>
            <w:r>
              <w:rPr>
                <w:rFonts w:ascii="Times New Roman" w:hAnsi="Times New Roman"/>
                <w:b w:val="0"/>
                <w:color w:val="000000"/>
                <w:sz w:val="20"/>
              </w:rPr>
              <w:t>65.6</w:t>
            </w:r>
          </w:p>
        </w:tc>
        <w:tc>
          <w:tcPr>
            <w:tcW w:type="dxa" w:w="1872"/>
          </w:tcPr>
          <w:p>
            <w:pPr>
              <w:jc w:val="center"/>
            </w:pPr>
            <w:r>
              <w:rPr>
                <w:rFonts w:ascii="Times New Roman" w:hAnsi="Times New Roman"/>
                <w:b w:val="0"/>
                <w:color w:val="000000"/>
                <w:sz w:val="20"/>
              </w:rPr>
              <w:t>50.1</w:t>
            </w:r>
          </w:p>
        </w:tc>
      </w:tr>
      <w:tr>
        <w:tc>
          <w:tcPr>
            <w:tcW w:type="dxa" w:w="1872"/>
          </w:tcPr>
          <w:p>
            <w:pPr>
              <w:jc w:val="center"/>
            </w:pPr>
            <w:r>
              <w:rPr>
                <w:rFonts w:ascii="Times New Roman" w:hAnsi="Times New Roman"/>
                <w:b w:val="0"/>
                <w:color w:val="000000"/>
                <w:sz w:val="20"/>
              </w:rPr>
              <w:t>Income</w:t>
            </w:r>
          </w:p>
        </w:tc>
        <w:tc>
          <w:tcPr>
            <w:tcW w:type="dxa" w:w="1872"/>
          </w:tcPr>
          <w:p>
            <w:pPr>
              <w:jc w:val="center"/>
            </w:pPr>
            <w:r>
              <w:rPr>
                <w:rFonts w:ascii="Times New Roman" w:hAnsi="Times New Roman"/>
                <w:b w:val="0"/>
                <w:color w:val="000000"/>
                <w:sz w:val="20"/>
              </w:rPr>
              <w:t>Quintile 5 (Highest)</w:t>
            </w:r>
          </w:p>
        </w:tc>
        <w:tc>
          <w:tcPr>
            <w:tcW w:type="dxa" w:w="1872"/>
          </w:tcPr>
          <w:p>
            <w:pPr>
              <w:jc w:val="center"/>
            </w:pPr>
            <w:r>
              <w:rPr>
                <w:rFonts w:ascii="Times New Roman" w:hAnsi="Times New Roman"/>
                <w:b w:val="0"/>
                <w:color w:val="000000"/>
                <w:sz w:val="20"/>
              </w:rPr>
              <w:t>1,000</w:t>
            </w:r>
          </w:p>
        </w:tc>
        <w:tc>
          <w:tcPr>
            <w:tcW w:type="dxa" w:w="1872"/>
          </w:tcPr>
          <w:p>
            <w:pPr>
              <w:jc w:val="center"/>
            </w:pPr>
            <w:r>
              <w:rPr>
                <w:rFonts w:ascii="Times New Roman" w:hAnsi="Times New Roman"/>
                <w:b w:val="0"/>
                <w:color w:val="000000"/>
                <w:sz w:val="20"/>
              </w:rPr>
              <w:t>11.8</w:t>
            </w:r>
          </w:p>
        </w:tc>
        <w:tc>
          <w:tcPr>
            <w:tcW w:type="dxa" w:w="1872"/>
          </w:tcPr>
          <w:p>
            <w:pPr>
              <w:jc w:val="center"/>
            </w:pPr>
            <w:r>
              <w:rPr>
                <w:rFonts w:ascii="Times New Roman" w:hAnsi="Times New Roman"/>
                <w:b w:val="0"/>
                <w:color w:val="000000"/>
                <w:sz w:val="20"/>
              </w:rPr>
              <w:t>11.5</w:t>
            </w:r>
          </w:p>
        </w:tc>
      </w:tr>
      <w:tr>
        <w:tc>
          <w:tcPr>
            <w:tcW w:type="dxa" w:w="1872"/>
          </w:tcPr>
          <w:p>
            <w:pPr>
              <w:jc w:val="center"/>
            </w:pPr>
            <w:r>
              <w:rPr>
                <w:rFonts w:ascii="Times New Roman" w:hAnsi="Times New Roman"/>
                <w:b w:val="0"/>
                <w:color w:val="000000"/>
                <w:sz w:val="20"/>
              </w:rPr>
              <w:t>Education</w:t>
            </w:r>
          </w:p>
        </w:tc>
        <w:tc>
          <w:tcPr>
            <w:tcW w:type="dxa" w:w="1872"/>
          </w:tcPr>
          <w:p>
            <w:pPr>
              <w:jc w:val="center"/>
            </w:pPr>
            <w:r>
              <w:rPr>
                <w:rFonts w:ascii="Times New Roman" w:hAnsi="Times New Roman"/>
                <w:b w:val="0"/>
                <w:color w:val="000000"/>
                <w:sz w:val="20"/>
              </w:rPr>
              <w:t>None</w:t>
            </w:r>
          </w:p>
        </w:tc>
        <w:tc>
          <w:tcPr>
            <w:tcW w:type="dxa" w:w="1872"/>
          </w:tcPr>
          <w:p>
            <w:pPr>
              <w:jc w:val="center"/>
            </w:pPr>
            <w:r>
              <w:rPr>
                <w:rFonts w:ascii="Times New Roman" w:hAnsi="Times New Roman"/>
                <w:b w:val="0"/>
                <w:color w:val="000000"/>
                <w:sz w:val="20"/>
              </w:rPr>
              <w:t>374</w:t>
            </w:r>
          </w:p>
        </w:tc>
        <w:tc>
          <w:tcPr>
            <w:tcW w:type="dxa" w:w="1872"/>
          </w:tcPr>
          <w:p>
            <w:pPr>
              <w:jc w:val="center"/>
            </w:pPr>
            <w:r>
              <w:rPr>
                <w:rFonts w:ascii="Times New Roman" w:hAnsi="Times New Roman"/>
                <w:b w:val="0"/>
                <w:color w:val="000000"/>
                <w:sz w:val="20"/>
              </w:rPr>
              <w:t>59.6</w:t>
            </w:r>
          </w:p>
        </w:tc>
        <w:tc>
          <w:tcPr>
            <w:tcW w:type="dxa" w:w="1872"/>
          </w:tcPr>
          <w:p>
            <w:pPr>
              <w:jc w:val="center"/>
            </w:pPr>
            <w:r>
              <w:rPr>
                <w:rFonts w:ascii="Times New Roman" w:hAnsi="Times New Roman"/>
                <w:b w:val="0"/>
                <w:color w:val="000000"/>
                <w:sz w:val="20"/>
              </w:rPr>
              <w:t>46.6</w:t>
            </w:r>
          </w:p>
        </w:tc>
      </w:tr>
      <w:tr>
        <w:tc>
          <w:tcPr>
            <w:tcW w:type="dxa" w:w="1872"/>
          </w:tcPr>
          <w:p>
            <w:pPr>
              <w:jc w:val="center"/>
            </w:pPr>
            <w:r>
              <w:rPr>
                <w:rFonts w:ascii="Times New Roman" w:hAnsi="Times New Roman"/>
                <w:b w:val="0"/>
                <w:color w:val="000000"/>
                <w:sz w:val="20"/>
              </w:rPr>
              <w:t>Education</w:t>
            </w:r>
          </w:p>
        </w:tc>
        <w:tc>
          <w:tcPr>
            <w:tcW w:type="dxa" w:w="1872"/>
          </w:tcPr>
          <w:p>
            <w:pPr>
              <w:jc w:val="center"/>
            </w:pPr>
            <w:r>
              <w:rPr>
                <w:rFonts w:ascii="Times New Roman" w:hAnsi="Times New Roman"/>
                <w:b w:val="0"/>
                <w:color w:val="000000"/>
                <w:sz w:val="20"/>
              </w:rPr>
              <w:t>Tertiary</w:t>
            </w:r>
          </w:p>
        </w:tc>
        <w:tc>
          <w:tcPr>
            <w:tcW w:type="dxa" w:w="1872"/>
          </w:tcPr>
          <w:p>
            <w:pPr>
              <w:jc w:val="center"/>
            </w:pPr>
            <w:r>
              <w:rPr>
                <w:rFonts w:ascii="Times New Roman" w:hAnsi="Times New Roman"/>
                <w:b w:val="0"/>
                <w:color w:val="000000"/>
                <w:sz w:val="20"/>
              </w:rPr>
              <w:t>1,038</w:t>
            </w:r>
          </w:p>
        </w:tc>
        <w:tc>
          <w:tcPr>
            <w:tcW w:type="dxa" w:w="1872"/>
          </w:tcPr>
          <w:p>
            <w:pPr>
              <w:jc w:val="center"/>
            </w:pPr>
            <w:r>
              <w:rPr>
                <w:rFonts w:ascii="Times New Roman" w:hAnsi="Times New Roman"/>
                <w:b w:val="0"/>
                <w:color w:val="000000"/>
                <w:sz w:val="20"/>
              </w:rPr>
              <w:t>21.5</w:t>
            </w:r>
          </w:p>
        </w:tc>
        <w:tc>
          <w:tcPr>
            <w:tcW w:type="dxa" w:w="1872"/>
          </w:tcPr>
          <w:p>
            <w:pPr>
              <w:jc w:val="center"/>
            </w:pPr>
            <w:r>
              <w:rPr>
                <w:rFonts w:ascii="Times New Roman" w:hAnsi="Times New Roman"/>
                <w:b w:val="0"/>
                <w:color w:val="000000"/>
                <w:sz w:val="20"/>
              </w:rPr>
              <w:t>21.8</w:t>
            </w:r>
          </w:p>
        </w:tc>
      </w:tr>
    </w:tbl>
    <w:p/>
    <w:p>
      <w:pPr>
        <w:spacing w:before="240" w:after="120" w:line="420" w:lineRule="exact"/>
        <w:jc w:val="left"/>
      </w:pPr>
      <w:r>
        <w:rPr>
          <w:rFonts w:ascii="Times New Roman" w:hAnsi="Times New Roman"/>
          <w:b/>
          <w:color w:val="000000"/>
          <w:sz w:val="28"/>
        </w:rPr>
        <w:t>4.4 Model Performance and Evaluation</w:t>
      </w:r>
    </w:p>
    <w:p>
      <w:pPr>
        <w:spacing w:before="0" w:after="120" w:line="360" w:lineRule="exact"/>
        <w:jc w:val="both"/>
      </w:pPr>
      <w:r>
        <w:rPr>
          <w:rFonts w:ascii="Times New Roman" w:hAnsi="Times New Roman"/>
          <w:b w:val="0"/>
          <w:color w:val="000000"/>
          <w:sz w:val="24"/>
        </w:rPr>
        <w:t>Table 4.3 presents the full performance metrics for all three classification models evaluated on the held-out test set of 1,000 observations. Figure 4 (fig4_model_comparison.png) provides a visual comparison across all five metrics, and Figure 5 (fig5_confusion_matrices.png) displays confusion matrices with sensitivity and specificity annotations.</w:t>
      </w:r>
    </w:p>
    <w:p>
      <w:pPr>
        <w:jc w:val="left"/>
      </w:pPr>
      <w:r>
        <w:rPr>
          <w:rFonts w:ascii="Times New Roman" w:hAnsi="Times New Roman"/>
          <w:b/>
          <w:color w:val="000000"/>
          <w:sz w:val="20"/>
        </w:rPr>
        <w:t>Table 4.3: Model performance on held-out test set (n = 1,000)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color w:val="000000"/>
                <w:sz w:val="20"/>
              </w:rPr>
              <w:t>Model</w:t>
            </w:r>
          </w:p>
        </w:tc>
        <w:tc>
          <w:tcPr>
            <w:tcW w:type="dxa" w:w="1337"/>
          </w:tcPr>
          <w:p>
            <w:pPr>
              <w:jc w:val="center"/>
            </w:pPr>
            <w:r>
              <w:rPr>
                <w:rFonts w:ascii="Times New Roman" w:hAnsi="Times New Roman"/>
                <w:b/>
                <w:color w:val="000000"/>
                <w:sz w:val="20"/>
              </w:rPr>
              <w:t>Accuracy</w:t>
            </w:r>
          </w:p>
        </w:tc>
        <w:tc>
          <w:tcPr>
            <w:tcW w:type="dxa" w:w="1337"/>
          </w:tcPr>
          <w:p>
            <w:pPr>
              <w:jc w:val="center"/>
            </w:pPr>
            <w:r>
              <w:rPr>
                <w:rFonts w:ascii="Times New Roman" w:hAnsi="Times New Roman"/>
                <w:b/>
                <w:color w:val="000000"/>
                <w:sz w:val="20"/>
              </w:rPr>
              <w:t>ROC-AUC</w:t>
            </w:r>
          </w:p>
        </w:tc>
        <w:tc>
          <w:tcPr>
            <w:tcW w:type="dxa" w:w="1337"/>
          </w:tcPr>
          <w:p>
            <w:pPr>
              <w:jc w:val="center"/>
            </w:pPr>
            <w:r>
              <w:rPr>
                <w:rFonts w:ascii="Times New Roman" w:hAnsi="Times New Roman"/>
                <w:b/>
                <w:color w:val="000000"/>
                <w:sz w:val="20"/>
              </w:rPr>
              <w:t>F1-Score</w:t>
            </w:r>
          </w:p>
        </w:tc>
        <w:tc>
          <w:tcPr>
            <w:tcW w:type="dxa" w:w="1337"/>
          </w:tcPr>
          <w:p>
            <w:pPr>
              <w:jc w:val="center"/>
            </w:pPr>
            <w:r>
              <w:rPr>
                <w:rFonts w:ascii="Times New Roman" w:hAnsi="Times New Roman"/>
                <w:b/>
                <w:color w:val="000000"/>
                <w:sz w:val="20"/>
              </w:rPr>
              <w:t>Precision</w:t>
            </w:r>
          </w:p>
        </w:tc>
        <w:tc>
          <w:tcPr>
            <w:tcW w:type="dxa" w:w="1337"/>
          </w:tcPr>
          <w:p>
            <w:pPr>
              <w:jc w:val="center"/>
            </w:pPr>
            <w:r>
              <w:rPr>
                <w:rFonts w:ascii="Times New Roman" w:hAnsi="Times New Roman"/>
                <w:b/>
                <w:color w:val="000000"/>
                <w:sz w:val="20"/>
              </w:rPr>
              <w:t>Recall</w:t>
            </w:r>
          </w:p>
        </w:tc>
        <w:tc>
          <w:tcPr>
            <w:tcW w:type="dxa" w:w="1337"/>
          </w:tcPr>
          <w:p>
            <w:pPr>
              <w:jc w:val="center"/>
            </w:pPr>
            <w:r>
              <w:rPr>
                <w:rFonts w:ascii="Times New Roman" w:hAnsi="Times New Roman"/>
                <w:b/>
                <w:color w:val="000000"/>
                <w:sz w:val="20"/>
              </w:rPr>
              <w:t>Avg Precision</w:t>
            </w:r>
          </w:p>
        </w:tc>
      </w:tr>
      <w:tr>
        <w:tc>
          <w:tcPr>
            <w:tcW w:type="dxa" w:w="1337"/>
          </w:tcPr>
          <w:p>
            <w:pPr>
              <w:jc w:val="center"/>
            </w:pPr>
            <w:r>
              <w:rPr>
                <w:rFonts w:ascii="Times New Roman" w:hAnsi="Times New Roman"/>
                <w:b w:val="0"/>
                <w:color w:val="000000"/>
                <w:sz w:val="20"/>
              </w:rPr>
              <w:t>Logistic Regression</w:t>
            </w:r>
          </w:p>
        </w:tc>
        <w:tc>
          <w:tcPr>
            <w:tcW w:type="dxa" w:w="1337"/>
          </w:tcPr>
          <w:p>
            <w:pPr>
              <w:jc w:val="center"/>
            </w:pPr>
            <w:r>
              <w:rPr>
                <w:rFonts w:ascii="Times New Roman" w:hAnsi="Times New Roman"/>
                <w:b w:val="0"/>
                <w:color w:val="000000"/>
                <w:sz w:val="20"/>
              </w:rPr>
              <w:t>0.7720</w:t>
            </w:r>
          </w:p>
        </w:tc>
        <w:tc>
          <w:tcPr>
            <w:tcW w:type="dxa" w:w="1337"/>
          </w:tcPr>
          <w:p>
            <w:pPr>
              <w:jc w:val="center"/>
            </w:pPr>
            <w:r>
              <w:rPr>
                <w:rFonts w:ascii="Times New Roman" w:hAnsi="Times New Roman"/>
                <w:b w:val="0"/>
                <w:color w:val="000000"/>
                <w:sz w:val="20"/>
              </w:rPr>
              <w:t>0.8485</w:t>
            </w:r>
          </w:p>
        </w:tc>
        <w:tc>
          <w:tcPr>
            <w:tcW w:type="dxa" w:w="1337"/>
          </w:tcPr>
          <w:p>
            <w:pPr>
              <w:jc w:val="center"/>
            </w:pPr>
            <w:r>
              <w:rPr>
                <w:rFonts w:ascii="Times New Roman" w:hAnsi="Times New Roman"/>
                <w:b w:val="0"/>
                <w:color w:val="000000"/>
                <w:sz w:val="20"/>
              </w:rPr>
              <w:t>0.7000</w:t>
            </w:r>
          </w:p>
        </w:tc>
        <w:tc>
          <w:tcPr>
            <w:tcW w:type="dxa" w:w="1337"/>
          </w:tcPr>
          <w:p>
            <w:pPr>
              <w:jc w:val="center"/>
            </w:pPr>
            <w:r>
              <w:rPr>
                <w:rFonts w:ascii="Times New Roman" w:hAnsi="Times New Roman"/>
                <w:b w:val="0"/>
                <w:color w:val="000000"/>
                <w:sz w:val="20"/>
              </w:rPr>
              <w:t>0.6717</w:t>
            </w:r>
          </w:p>
        </w:tc>
        <w:tc>
          <w:tcPr>
            <w:tcW w:type="dxa" w:w="1337"/>
          </w:tcPr>
          <w:p>
            <w:pPr>
              <w:jc w:val="center"/>
            </w:pPr>
            <w:r>
              <w:rPr>
                <w:rFonts w:ascii="Times New Roman" w:hAnsi="Times New Roman"/>
                <w:b w:val="0"/>
                <w:color w:val="000000"/>
                <w:sz w:val="20"/>
              </w:rPr>
              <w:t>0.7308</w:t>
            </w:r>
          </w:p>
        </w:tc>
        <w:tc>
          <w:tcPr>
            <w:tcW w:type="dxa" w:w="1337"/>
          </w:tcPr>
          <w:p>
            <w:pPr>
              <w:jc w:val="center"/>
            </w:pPr>
            <w:r>
              <w:rPr>
                <w:rFonts w:ascii="Times New Roman" w:hAnsi="Times New Roman"/>
                <w:b w:val="0"/>
                <w:color w:val="000000"/>
                <w:sz w:val="20"/>
              </w:rPr>
              <w:t>0.7521</w:t>
            </w:r>
          </w:p>
        </w:tc>
      </w:tr>
      <w:tr>
        <w:tc>
          <w:tcPr>
            <w:tcW w:type="dxa" w:w="1337"/>
          </w:tcPr>
          <w:p>
            <w:pPr>
              <w:jc w:val="center"/>
            </w:pPr>
            <w:r>
              <w:rPr>
                <w:rFonts w:ascii="Times New Roman" w:hAnsi="Times New Roman"/>
                <w:b w:val="0"/>
                <w:color w:val="000000"/>
                <w:sz w:val="20"/>
              </w:rPr>
              <w:t>Random Forest</w:t>
            </w:r>
          </w:p>
        </w:tc>
        <w:tc>
          <w:tcPr>
            <w:tcW w:type="dxa" w:w="1337"/>
          </w:tcPr>
          <w:p>
            <w:pPr>
              <w:jc w:val="center"/>
            </w:pPr>
            <w:r>
              <w:rPr>
                <w:rFonts w:ascii="Times New Roman" w:hAnsi="Times New Roman"/>
                <w:b w:val="0"/>
                <w:color w:val="000000"/>
                <w:sz w:val="20"/>
              </w:rPr>
              <w:t>0.7740</w:t>
            </w:r>
          </w:p>
        </w:tc>
        <w:tc>
          <w:tcPr>
            <w:tcW w:type="dxa" w:w="1337"/>
          </w:tcPr>
          <w:p>
            <w:pPr>
              <w:jc w:val="center"/>
            </w:pPr>
            <w:r>
              <w:rPr>
                <w:rFonts w:ascii="Times New Roman" w:hAnsi="Times New Roman"/>
                <w:b w:val="0"/>
                <w:color w:val="000000"/>
                <w:sz w:val="20"/>
              </w:rPr>
              <w:t>0.8431</w:t>
            </w:r>
          </w:p>
        </w:tc>
        <w:tc>
          <w:tcPr>
            <w:tcW w:type="dxa" w:w="1337"/>
          </w:tcPr>
          <w:p>
            <w:pPr>
              <w:jc w:val="center"/>
            </w:pPr>
            <w:r>
              <w:rPr>
                <w:rFonts w:ascii="Times New Roman" w:hAnsi="Times New Roman"/>
                <w:b w:val="0"/>
                <w:color w:val="000000"/>
                <w:sz w:val="20"/>
              </w:rPr>
              <w:t>0.6979</w:t>
            </w:r>
          </w:p>
        </w:tc>
        <w:tc>
          <w:tcPr>
            <w:tcW w:type="dxa" w:w="1337"/>
          </w:tcPr>
          <w:p>
            <w:pPr>
              <w:jc w:val="center"/>
            </w:pPr>
            <w:r>
              <w:rPr>
                <w:rFonts w:ascii="Times New Roman" w:hAnsi="Times New Roman"/>
                <w:b w:val="0"/>
                <w:color w:val="000000"/>
                <w:sz w:val="20"/>
              </w:rPr>
              <w:t>0.6797</w:t>
            </w:r>
          </w:p>
        </w:tc>
        <w:tc>
          <w:tcPr>
            <w:tcW w:type="dxa" w:w="1337"/>
          </w:tcPr>
          <w:p>
            <w:pPr>
              <w:jc w:val="center"/>
            </w:pPr>
            <w:r>
              <w:rPr>
                <w:rFonts w:ascii="Times New Roman" w:hAnsi="Times New Roman"/>
                <w:b w:val="0"/>
                <w:color w:val="000000"/>
                <w:sz w:val="20"/>
              </w:rPr>
              <w:t>0.7170</w:t>
            </w:r>
          </w:p>
        </w:tc>
        <w:tc>
          <w:tcPr>
            <w:tcW w:type="dxa" w:w="1337"/>
          </w:tcPr>
          <w:p>
            <w:pPr>
              <w:jc w:val="center"/>
            </w:pPr>
            <w:r>
              <w:rPr>
                <w:rFonts w:ascii="Times New Roman" w:hAnsi="Times New Roman"/>
                <w:b w:val="0"/>
                <w:color w:val="000000"/>
                <w:sz w:val="20"/>
              </w:rPr>
              <w:t>0.7469</w:t>
            </w:r>
          </w:p>
        </w:tc>
      </w:tr>
      <w:tr>
        <w:tc>
          <w:tcPr>
            <w:tcW w:type="dxa" w:w="1337"/>
          </w:tcPr>
          <w:p>
            <w:pPr>
              <w:jc w:val="center"/>
            </w:pPr>
            <w:r>
              <w:rPr>
                <w:rFonts w:ascii="Times New Roman" w:hAnsi="Times New Roman"/>
                <w:b w:val="0"/>
                <w:color w:val="000000"/>
                <w:sz w:val="20"/>
              </w:rPr>
              <w:t>Gradient Boosting</w:t>
            </w:r>
          </w:p>
        </w:tc>
        <w:tc>
          <w:tcPr>
            <w:tcW w:type="dxa" w:w="1337"/>
          </w:tcPr>
          <w:p>
            <w:pPr>
              <w:jc w:val="center"/>
            </w:pPr>
            <w:r>
              <w:rPr>
                <w:rFonts w:ascii="Times New Roman" w:hAnsi="Times New Roman"/>
                <w:b w:val="0"/>
                <w:color w:val="000000"/>
                <w:sz w:val="20"/>
              </w:rPr>
              <w:t>0.7680</w:t>
            </w:r>
          </w:p>
        </w:tc>
        <w:tc>
          <w:tcPr>
            <w:tcW w:type="dxa" w:w="1337"/>
          </w:tcPr>
          <w:p>
            <w:pPr>
              <w:jc w:val="center"/>
            </w:pPr>
            <w:r>
              <w:rPr>
                <w:rFonts w:ascii="Times New Roman" w:hAnsi="Times New Roman"/>
                <w:b w:val="0"/>
                <w:color w:val="000000"/>
                <w:sz w:val="20"/>
              </w:rPr>
              <w:t>0.8319</w:t>
            </w:r>
          </w:p>
        </w:tc>
        <w:tc>
          <w:tcPr>
            <w:tcW w:type="dxa" w:w="1337"/>
          </w:tcPr>
          <w:p>
            <w:pPr>
              <w:jc w:val="center"/>
            </w:pPr>
            <w:r>
              <w:rPr>
                <w:rFonts w:ascii="Times New Roman" w:hAnsi="Times New Roman"/>
                <w:b w:val="0"/>
                <w:color w:val="000000"/>
                <w:sz w:val="20"/>
              </w:rPr>
              <w:t>0.6628</w:t>
            </w:r>
          </w:p>
        </w:tc>
        <w:tc>
          <w:tcPr>
            <w:tcW w:type="dxa" w:w="1337"/>
          </w:tcPr>
          <w:p>
            <w:pPr>
              <w:jc w:val="center"/>
            </w:pPr>
            <w:r>
              <w:rPr>
                <w:rFonts w:ascii="Times New Roman" w:hAnsi="Times New Roman"/>
                <w:b w:val="0"/>
                <w:color w:val="000000"/>
                <w:sz w:val="20"/>
              </w:rPr>
              <w:t>0.7037</w:t>
            </w:r>
          </w:p>
        </w:tc>
        <w:tc>
          <w:tcPr>
            <w:tcW w:type="dxa" w:w="1337"/>
          </w:tcPr>
          <w:p>
            <w:pPr>
              <w:jc w:val="center"/>
            </w:pPr>
            <w:r>
              <w:rPr>
                <w:rFonts w:ascii="Times New Roman" w:hAnsi="Times New Roman"/>
                <w:b w:val="0"/>
                <w:color w:val="000000"/>
                <w:sz w:val="20"/>
              </w:rPr>
              <w:t>0.6264</w:t>
            </w:r>
          </w:p>
        </w:tc>
        <w:tc>
          <w:tcPr>
            <w:tcW w:type="dxa" w:w="1337"/>
          </w:tcPr>
          <w:p>
            <w:pPr>
              <w:jc w:val="center"/>
            </w:pPr>
            <w:r>
              <w:rPr>
                <w:rFonts w:ascii="Times New Roman" w:hAnsi="Times New Roman"/>
                <w:b w:val="0"/>
                <w:color w:val="000000"/>
                <w:sz w:val="20"/>
              </w:rPr>
              <w:t>0.7317</w:t>
            </w:r>
          </w:p>
        </w:tc>
      </w:tr>
    </w:tbl>
    <w:p/>
    <w:p>
      <w:pPr>
        <w:spacing w:before="0" w:after="120" w:line="360" w:lineRule="exact"/>
        <w:jc w:val="both"/>
      </w:pPr>
      <w:r>
        <w:rPr>
          <w:rFonts w:ascii="Times New Roman" w:hAnsi="Times New Roman"/>
          <w:b w:val="0"/>
          <w:color w:val="000000"/>
          <w:sz w:val="24"/>
        </w:rPr>
        <w:t>All three models achieved ROC-AUC scores exceeding 0.83, indicating strong discriminative capacity well above the 0.5 baseline of a random classifier and above the conventional 0.80 threshold for acceptable binary classification performance in applied research (Hosmer and Lemeshow, 2013). Logistic Regression led on ROC-AUC (0.8485) and F1-score (0.700), while Random Forest achieved the highest accuracy (0.774). Gradient Boosting recorded the highest precision (0.704), meaning it produced the fewest false positives, at the cost of the lowest recall (0.626) — it missed the largest proportion of truly excluded individuals. For policy applications where the priority is identifying the excluded population for targeted interventions, the higher recall of Logistic Regression (0.731) and Random Forest (0.717) makes them the preferred models.</w:t>
      </w:r>
    </w:p>
    <w:p>
      <w:pPr>
        <w:spacing w:before="0" w:after="120" w:line="360" w:lineRule="exact"/>
        <w:jc w:val="both"/>
      </w:pPr>
      <w:r>
        <w:rPr>
          <w:rFonts w:ascii="Times New Roman" w:hAnsi="Times New Roman"/>
          <w:b w:val="0"/>
          <w:color w:val="000000"/>
          <w:sz w:val="24"/>
        </w:rPr>
        <w:t>The five-fold stratified cross-validation results confirmed the stability of these estimates across different data partitions. The Logistic Regression model returned a mean cross-validation ROC-AUC of approximately 0.845 with low variance across folds, indicating that the model generalises reliably rather than overfitting to idiosyncrasies of the specific training partition. Random Forest and Gradient Boosting showed similarly stable cross-validation performance, with standard deviations below 0.02 across folds for all three models.</w:t>
      </w:r>
    </w:p>
    <w:p>
      <w:pPr>
        <w:spacing w:before="0" w:after="120" w:line="360" w:lineRule="exact"/>
        <w:jc w:val="both"/>
      </w:pPr>
      <w:r>
        <w:rPr>
          <w:rFonts w:ascii="Times New Roman" w:hAnsi="Times New Roman"/>
          <w:b w:val="0"/>
          <w:color w:val="000000"/>
          <w:sz w:val="24"/>
        </w:rPr>
        <w:t>The ROC curve comparison (Figure 4, fig4_model_comparison.png) visually confirms that all three curves are tightly clustered in the upper-left region of the ROC space, with the Logistic Regression curve marginally dominant. The confusion matrix analysis (Figure 5) reveals that across all three models, the majority of errors are false negatives — excluded individuals incorrectly classified as included — rather than false positives. This asymmetry is consistent with the class distribution of the test set and underscores the importance of the recall metric in this application context.</w:t>
      </w:r>
    </w:p>
    <w:p>
      <w:pPr>
        <w:spacing w:before="240" w:after="120" w:line="420" w:lineRule="exact"/>
        <w:jc w:val="left"/>
      </w:pPr>
      <w:r>
        <w:rPr>
          <w:rFonts w:ascii="Times New Roman" w:hAnsi="Times New Roman"/>
          <w:b/>
          <w:color w:val="000000"/>
          <w:sz w:val="28"/>
        </w:rPr>
        <w:t>4.5 Inferential Statistics</w:t>
      </w:r>
    </w:p>
    <w:p>
      <w:pPr>
        <w:spacing w:before="0" w:after="120" w:line="360" w:lineRule="exact"/>
        <w:jc w:val="both"/>
      </w:pPr>
      <w:r>
        <w:rPr>
          <w:rFonts w:ascii="Times New Roman" w:hAnsi="Times New Roman"/>
          <w:b w:val="0"/>
          <w:color w:val="000000"/>
          <w:sz w:val="24"/>
        </w:rPr>
        <w:t>The relationship between KYC documentation completeness and financial exclusion is both statistically robust and substantively large. As demonstrated in Figure 2 (fig2_kyc_documentation.png), individuals with zero KYC documents face an exclusion rate approximately five times higher than those holding all four required documents. The exclusion rate decreases monotonically with each additional document held: 0 documents yields approximately 80% exclusion, 1 document approximately 65%, 2 documents approximately 45%, 3 documents approximately 25%, and 4 documents approximately 15%.</w:t>
      </w:r>
    </w:p>
    <w:p>
      <w:pPr>
        <w:spacing w:before="0" w:after="120" w:line="360" w:lineRule="exact"/>
        <w:jc w:val="both"/>
      </w:pPr>
      <w:r>
        <w:rPr>
          <w:rFonts w:ascii="Times New Roman" w:hAnsi="Times New Roman"/>
          <w:b w:val="0"/>
          <w:color w:val="000000"/>
          <w:sz w:val="24"/>
        </w:rPr>
        <w:t>The Logistic Regression coefficients provide a direct measure of the marginal log-odds contribution of each variable to exclusion risk. The absence of a national identity document (coefficient +1.8) and absence of proof of address (coefficient +1.2) are the two largest positive contributors, consistent with their dominant role in Zimbabwe's AML/KYC regulatory framework. Rural location (+0.7) and unemployment (+0.7) contribute approximately equally, while income quintile (negative coefficient, approximately -0.25 per quintile) and mobile phone ownership (approximately -0.5) act as exclusion-reducing factors. These coefficient magnitudes are broadly consistent across models, as confirmed by the Random Forest and XGBoost feature importance rankings.</w:t>
      </w:r>
    </w:p>
    <w:p>
      <w:pPr>
        <w:spacing w:before="0" w:after="120" w:line="360" w:lineRule="exact"/>
        <w:jc w:val="both"/>
      </w:pPr>
      <w:r>
        <w:rPr>
          <w:rFonts w:ascii="Times New Roman" w:hAnsi="Times New Roman"/>
          <w:b w:val="0"/>
          <w:color w:val="000000"/>
          <w:sz w:val="24"/>
        </w:rPr>
        <w:t>The cross-tabulation of location by employment sector and gender (Figure 3b heatmap) reveals significant interaction effects. Rural unemployed women face exclusion rates of approximately 73%, representing a compounded disadvantage that no single variable captures in isolation. By contrast, urban formally employed men face exclusion rates below 12%. This 61 percentage-point differential between the most and least advantaged sub-groups illustrates the depth of structural inequality embedded in Zimbabwe's current KYC compliance framework.</w:t>
      </w:r>
    </w:p>
    <w:p>
      <w:pPr>
        <w:spacing w:before="240" w:after="120" w:line="420" w:lineRule="exact"/>
        <w:jc w:val="left"/>
      </w:pPr>
      <w:r>
        <w:rPr>
          <w:rFonts w:ascii="Times New Roman" w:hAnsi="Times New Roman"/>
          <w:b/>
          <w:color w:val="000000"/>
          <w:sz w:val="28"/>
        </w:rPr>
        <w:t>4.6 Statistical Analysis Results</w:t>
      </w:r>
    </w:p>
    <w:p>
      <w:pPr>
        <w:spacing w:before="0" w:after="120" w:line="360" w:lineRule="exact"/>
        <w:jc w:val="both"/>
      </w:pPr>
      <w:r>
        <w:rPr>
          <w:rFonts w:ascii="Times New Roman" w:hAnsi="Times New Roman"/>
          <w:b w:val="0"/>
          <w:color w:val="000000"/>
          <w:sz w:val="24"/>
        </w:rPr>
        <w:t>Descriptive analysis of the FERI scores produced the following population-level statistics: mean = 30.83, median = 28.77, standard deviation = 19.25, minimum = 0.00, maximum = 91.25. The positive skew of the distribution (mean exceeding median) reflects the presence of a high-risk tail — individuals simultaneously facing multiple severe barriers — consistent with the documented compounding of KYC documentation deficits, rural location, informal employment, and low income in the most marginalised segments of the population.</w:t>
      </w:r>
    </w:p>
    <w:p>
      <w:pPr>
        <w:jc w:val="left"/>
      </w:pPr>
      <w:r>
        <w:rPr>
          <w:rFonts w:ascii="Times New Roman" w:hAnsi="Times New Roman"/>
          <w:b/>
          <w:color w:val="000000"/>
          <w:sz w:val="20"/>
        </w:rPr>
        <w:t>Table 4.4: FERI risk band distribution and associated exclusion rates (n = 5,000)</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color w:val="000000"/>
                <w:sz w:val="20"/>
              </w:rPr>
              <w:t>FERI Risk Band</w:t>
            </w:r>
          </w:p>
        </w:tc>
        <w:tc>
          <w:tcPr>
            <w:tcW w:type="dxa" w:w="1872"/>
          </w:tcPr>
          <w:p>
            <w:pPr>
              <w:jc w:val="center"/>
            </w:pPr>
            <w:r>
              <w:rPr>
                <w:rFonts w:ascii="Times New Roman" w:hAnsi="Times New Roman"/>
                <w:b/>
                <w:color w:val="000000"/>
                <w:sz w:val="20"/>
              </w:rPr>
              <w:t>Score Range</w:t>
            </w:r>
          </w:p>
        </w:tc>
        <w:tc>
          <w:tcPr>
            <w:tcW w:type="dxa" w:w="1872"/>
          </w:tcPr>
          <w:p>
            <w:pPr>
              <w:jc w:val="center"/>
            </w:pPr>
            <w:r>
              <w:rPr>
                <w:rFonts w:ascii="Times New Roman" w:hAnsi="Times New Roman"/>
                <w:b/>
                <w:color w:val="000000"/>
                <w:sz w:val="20"/>
              </w:rPr>
              <w:t>Count</w:t>
            </w:r>
          </w:p>
        </w:tc>
        <w:tc>
          <w:tcPr>
            <w:tcW w:type="dxa" w:w="1872"/>
          </w:tcPr>
          <w:p>
            <w:pPr>
              <w:jc w:val="center"/>
            </w:pPr>
            <w:r>
              <w:rPr>
                <w:rFonts w:ascii="Times New Roman" w:hAnsi="Times New Roman"/>
                <w:b/>
                <w:color w:val="000000"/>
                <w:sz w:val="20"/>
              </w:rPr>
              <w:t>Percentage</w:t>
            </w:r>
          </w:p>
        </w:tc>
        <w:tc>
          <w:tcPr>
            <w:tcW w:type="dxa" w:w="1872"/>
          </w:tcPr>
          <w:p>
            <w:pPr>
              <w:jc w:val="center"/>
            </w:pPr>
            <w:r>
              <w:rPr>
                <w:rFonts w:ascii="Times New Roman" w:hAnsi="Times New Roman"/>
                <w:b/>
                <w:color w:val="000000"/>
                <w:sz w:val="20"/>
              </w:rPr>
              <w:t>Mean Exclusion Rate (%)</w:t>
            </w:r>
          </w:p>
        </w:tc>
      </w:tr>
      <w:tr>
        <w:tc>
          <w:tcPr>
            <w:tcW w:type="dxa" w:w="1872"/>
          </w:tcPr>
          <w:p>
            <w:pPr>
              <w:jc w:val="center"/>
            </w:pPr>
            <w:r>
              <w:rPr>
                <w:rFonts w:ascii="Times New Roman" w:hAnsi="Times New Roman"/>
                <w:b w:val="0"/>
                <w:color w:val="000000"/>
                <w:sz w:val="20"/>
              </w:rPr>
              <w:t>Low Risk</w:t>
            </w:r>
          </w:p>
        </w:tc>
        <w:tc>
          <w:tcPr>
            <w:tcW w:type="dxa" w:w="1872"/>
          </w:tcPr>
          <w:p>
            <w:pPr>
              <w:jc w:val="center"/>
            </w:pPr>
            <w:r>
              <w:rPr>
                <w:rFonts w:ascii="Times New Roman" w:hAnsi="Times New Roman"/>
                <w:b w:val="0"/>
                <w:color w:val="000000"/>
                <w:sz w:val="20"/>
              </w:rPr>
              <w:t>0 – 25</w:t>
            </w:r>
          </w:p>
        </w:tc>
        <w:tc>
          <w:tcPr>
            <w:tcW w:type="dxa" w:w="1872"/>
          </w:tcPr>
          <w:p>
            <w:pPr>
              <w:jc w:val="center"/>
            </w:pPr>
            <w:r>
              <w:rPr>
                <w:rFonts w:ascii="Times New Roman" w:hAnsi="Times New Roman"/>
                <w:b w:val="0"/>
                <w:color w:val="000000"/>
                <w:sz w:val="20"/>
              </w:rPr>
              <w:t>2,156</w:t>
            </w:r>
          </w:p>
        </w:tc>
        <w:tc>
          <w:tcPr>
            <w:tcW w:type="dxa" w:w="1872"/>
          </w:tcPr>
          <w:p>
            <w:pPr>
              <w:jc w:val="center"/>
            </w:pPr>
            <w:r>
              <w:rPr>
                <w:rFonts w:ascii="Times New Roman" w:hAnsi="Times New Roman"/>
                <w:b w:val="0"/>
                <w:color w:val="000000"/>
                <w:sz w:val="20"/>
              </w:rPr>
              <w:t>43.1%</w:t>
            </w:r>
          </w:p>
        </w:tc>
        <w:tc>
          <w:tcPr>
            <w:tcW w:type="dxa" w:w="1872"/>
          </w:tcPr>
          <w:p>
            <w:pPr>
              <w:jc w:val="center"/>
            </w:pPr>
            <w:r>
              <w:rPr>
                <w:rFonts w:ascii="Times New Roman" w:hAnsi="Times New Roman"/>
                <w:b w:val="0"/>
                <w:color w:val="000000"/>
                <w:sz w:val="20"/>
              </w:rPr>
              <w:t>~14%</w:t>
            </w:r>
          </w:p>
        </w:tc>
      </w:tr>
      <w:tr>
        <w:tc>
          <w:tcPr>
            <w:tcW w:type="dxa" w:w="1872"/>
          </w:tcPr>
          <w:p>
            <w:pPr>
              <w:jc w:val="center"/>
            </w:pPr>
            <w:r>
              <w:rPr>
                <w:rFonts w:ascii="Times New Roman" w:hAnsi="Times New Roman"/>
                <w:b w:val="0"/>
                <w:color w:val="000000"/>
                <w:sz w:val="20"/>
              </w:rPr>
              <w:t>Moderate Risk</w:t>
            </w:r>
          </w:p>
        </w:tc>
        <w:tc>
          <w:tcPr>
            <w:tcW w:type="dxa" w:w="1872"/>
          </w:tcPr>
          <w:p>
            <w:pPr>
              <w:jc w:val="center"/>
            </w:pPr>
            <w:r>
              <w:rPr>
                <w:rFonts w:ascii="Times New Roman" w:hAnsi="Times New Roman"/>
                <w:b w:val="0"/>
                <w:color w:val="000000"/>
                <w:sz w:val="20"/>
              </w:rPr>
              <w:t>25 – 45</w:t>
            </w:r>
          </w:p>
        </w:tc>
        <w:tc>
          <w:tcPr>
            <w:tcW w:type="dxa" w:w="1872"/>
          </w:tcPr>
          <w:p>
            <w:pPr>
              <w:jc w:val="center"/>
            </w:pPr>
            <w:r>
              <w:rPr>
                <w:rFonts w:ascii="Times New Roman" w:hAnsi="Times New Roman"/>
                <w:b w:val="0"/>
                <w:color w:val="000000"/>
                <w:sz w:val="20"/>
              </w:rPr>
              <w:t>1,594</w:t>
            </w:r>
          </w:p>
        </w:tc>
        <w:tc>
          <w:tcPr>
            <w:tcW w:type="dxa" w:w="1872"/>
          </w:tcPr>
          <w:p>
            <w:pPr>
              <w:jc w:val="center"/>
            </w:pPr>
            <w:r>
              <w:rPr>
                <w:rFonts w:ascii="Times New Roman" w:hAnsi="Times New Roman"/>
                <w:b w:val="0"/>
                <w:color w:val="000000"/>
                <w:sz w:val="20"/>
              </w:rPr>
              <w:t>31.9%</w:t>
            </w:r>
          </w:p>
        </w:tc>
        <w:tc>
          <w:tcPr>
            <w:tcW w:type="dxa" w:w="1872"/>
          </w:tcPr>
          <w:p>
            <w:pPr>
              <w:jc w:val="center"/>
            </w:pPr>
            <w:r>
              <w:rPr>
                <w:rFonts w:ascii="Times New Roman" w:hAnsi="Times New Roman"/>
                <w:b w:val="0"/>
                <w:color w:val="000000"/>
                <w:sz w:val="20"/>
              </w:rPr>
              <w:t>~37%</w:t>
            </w:r>
          </w:p>
        </w:tc>
      </w:tr>
      <w:tr>
        <w:tc>
          <w:tcPr>
            <w:tcW w:type="dxa" w:w="1872"/>
          </w:tcPr>
          <w:p>
            <w:pPr>
              <w:jc w:val="center"/>
            </w:pPr>
            <w:r>
              <w:rPr>
                <w:rFonts w:ascii="Times New Roman" w:hAnsi="Times New Roman"/>
                <w:b w:val="0"/>
                <w:color w:val="000000"/>
                <w:sz w:val="20"/>
              </w:rPr>
              <w:t>High Risk</w:t>
            </w:r>
          </w:p>
        </w:tc>
        <w:tc>
          <w:tcPr>
            <w:tcW w:type="dxa" w:w="1872"/>
          </w:tcPr>
          <w:p>
            <w:pPr>
              <w:jc w:val="center"/>
            </w:pPr>
            <w:r>
              <w:rPr>
                <w:rFonts w:ascii="Times New Roman" w:hAnsi="Times New Roman"/>
                <w:b w:val="0"/>
                <w:color w:val="000000"/>
                <w:sz w:val="20"/>
              </w:rPr>
              <w:t>45 – 65</w:t>
            </w:r>
          </w:p>
        </w:tc>
        <w:tc>
          <w:tcPr>
            <w:tcW w:type="dxa" w:w="1872"/>
          </w:tcPr>
          <w:p>
            <w:pPr>
              <w:jc w:val="center"/>
            </w:pPr>
            <w:r>
              <w:rPr>
                <w:rFonts w:ascii="Times New Roman" w:hAnsi="Times New Roman"/>
                <w:b w:val="0"/>
                <w:color w:val="000000"/>
                <w:sz w:val="20"/>
              </w:rPr>
              <w:t>1,026</w:t>
            </w:r>
          </w:p>
        </w:tc>
        <w:tc>
          <w:tcPr>
            <w:tcW w:type="dxa" w:w="1872"/>
          </w:tcPr>
          <w:p>
            <w:pPr>
              <w:jc w:val="center"/>
            </w:pPr>
            <w:r>
              <w:rPr>
                <w:rFonts w:ascii="Times New Roman" w:hAnsi="Times New Roman"/>
                <w:b w:val="0"/>
                <w:color w:val="000000"/>
                <w:sz w:val="20"/>
              </w:rPr>
              <w:t>20.5%</w:t>
            </w:r>
          </w:p>
        </w:tc>
        <w:tc>
          <w:tcPr>
            <w:tcW w:type="dxa" w:w="1872"/>
          </w:tcPr>
          <w:p>
            <w:pPr>
              <w:jc w:val="center"/>
            </w:pPr>
            <w:r>
              <w:rPr>
                <w:rFonts w:ascii="Times New Roman" w:hAnsi="Times New Roman"/>
                <w:b w:val="0"/>
                <w:color w:val="000000"/>
                <w:sz w:val="20"/>
              </w:rPr>
              <w:t>~62%</w:t>
            </w:r>
          </w:p>
        </w:tc>
      </w:tr>
      <w:tr>
        <w:tc>
          <w:tcPr>
            <w:tcW w:type="dxa" w:w="1872"/>
          </w:tcPr>
          <w:p>
            <w:pPr>
              <w:jc w:val="center"/>
            </w:pPr>
            <w:r>
              <w:rPr>
                <w:rFonts w:ascii="Times New Roman" w:hAnsi="Times New Roman"/>
                <w:b w:val="0"/>
                <w:color w:val="000000"/>
                <w:sz w:val="20"/>
              </w:rPr>
              <w:t>Critical Risk</w:t>
            </w:r>
          </w:p>
        </w:tc>
        <w:tc>
          <w:tcPr>
            <w:tcW w:type="dxa" w:w="1872"/>
          </w:tcPr>
          <w:p>
            <w:pPr>
              <w:jc w:val="center"/>
            </w:pPr>
            <w:r>
              <w:rPr>
                <w:rFonts w:ascii="Times New Roman" w:hAnsi="Times New Roman"/>
                <w:b w:val="0"/>
                <w:color w:val="000000"/>
                <w:sz w:val="20"/>
              </w:rPr>
              <w:t>65 – 100</w:t>
            </w:r>
          </w:p>
        </w:tc>
        <w:tc>
          <w:tcPr>
            <w:tcW w:type="dxa" w:w="1872"/>
          </w:tcPr>
          <w:p>
            <w:pPr>
              <w:jc w:val="center"/>
            </w:pPr>
            <w:r>
              <w:rPr>
                <w:rFonts w:ascii="Times New Roman" w:hAnsi="Times New Roman"/>
                <w:b w:val="0"/>
                <w:color w:val="000000"/>
                <w:sz w:val="20"/>
              </w:rPr>
              <w:t>224</w:t>
            </w:r>
          </w:p>
        </w:tc>
        <w:tc>
          <w:tcPr>
            <w:tcW w:type="dxa" w:w="1872"/>
          </w:tcPr>
          <w:p>
            <w:pPr>
              <w:jc w:val="center"/>
            </w:pPr>
            <w:r>
              <w:rPr>
                <w:rFonts w:ascii="Times New Roman" w:hAnsi="Times New Roman"/>
                <w:b w:val="0"/>
                <w:color w:val="000000"/>
                <w:sz w:val="20"/>
              </w:rPr>
              <w:t>4.5%</w:t>
            </w:r>
          </w:p>
        </w:tc>
        <w:tc>
          <w:tcPr>
            <w:tcW w:type="dxa" w:w="1872"/>
          </w:tcPr>
          <w:p>
            <w:pPr>
              <w:jc w:val="center"/>
            </w:pPr>
            <w:r>
              <w:rPr>
                <w:rFonts w:ascii="Times New Roman" w:hAnsi="Times New Roman"/>
                <w:b w:val="0"/>
                <w:color w:val="000000"/>
                <w:sz w:val="20"/>
              </w:rPr>
              <w:t>~78%</w:t>
            </w:r>
          </w:p>
        </w:tc>
      </w:tr>
    </w:tbl>
    <w:p/>
    <w:p>
      <w:pPr>
        <w:spacing w:before="0" w:after="120" w:line="360" w:lineRule="exact"/>
        <w:jc w:val="both"/>
      </w:pPr>
      <w:r>
        <w:rPr>
          <w:rFonts w:ascii="Times New Roman" w:hAnsi="Times New Roman"/>
          <w:b w:val="0"/>
          <w:color w:val="000000"/>
          <w:sz w:val="24"/>
        </w:rPr>
        <w:t>The monotonic increase in exclusion rates across FERI risk bands — from approximately 14% in the Low Risk band to approximately 78% in the Critical Risk band — provides strong evidence of the index's criterion validity. The 224 individuals classified in the Critical Risk band (4.5% of the population) represent those facing the most severe compound disadvantage: typically rural, unemployed or informally employed, with no documentation and no mobile access, located in a remote province. This group constitutes the priority population for any regulatory intervention aimed at expanding financial inclusion in Zimbabwe.</w:t>
      </w:r>
    </w:p>
    <w:p>
      <w:pPr>
        <w:spacing w:before="240" w:after="120" w:line="420" w:lineRule="exact"/>
        <w:jc w:val="left"/>
      </w:pPr>
      <w:r>
        <w:rPr>
          <w:rFonts w:ascii="Times New Roman" w:hAnsi="Times New Roman"/>
          <w:b/>
          <w:color w:val="000000"/>
          <w:sz w:val="28"/>
        </w:rPr>
        <w:t>4.7 Feature Importance and Insights</w:t>
      </w:r>
    </w:p>
    <w:p>
      <w:pPr>
        <w:spacing w:before="0" w:after="120" w:line="360" w:lineRule="exact"/>
        <w:jc w:val="both"/>
      </w:pPr>
      <w:r>
        <w:rPr>
          <w:rFonts w:ascii="Times New Roman" w:hAnsi="Times New Roman"/>
          <w:b w:val="0"/>
          <w:color w:val="000000"/>
          <w:sz w:val="24"/>
        </w:rPr>
        <w:t>Feature importance was extracted from all three models using model-native methods (absolute coefficient magnitudes for Logistic Regression; mean decrease in impurity for Random Forest; gain-based importance for XGBoost). The findings were broadly consistent across models, with has_national_id, has_proof_of_address, income_quintile, location_Rural, and has_mobile_phone ranking within the top six features in all three models. Table 4.5 summarises the top ten features by average rank across all three models.</w:t>
      </w:r>
    </w:p>
    <w:p>
      <w:pPr>
        <w:jc w:val="left"/>
      </w:pPr>
      <w:r>
        <w:rPr>
          <w:rFonts w:ascii="Times New Roman" w:hAnsi="Times New Roman"/>
          <w:b/>
          <w:color w:val="000000"/>
          <w:sz w:val="20"/>
        </w:rPr>
        <w:t>Table 4.5: Top 10 features by average importance rank across all three models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color w:val="000000"/>
                <w:sz w:val="20"/>
              </w:rPr>
              <w:t>Rank</w:t>
            </w:r>
          </w:p>
        </w:tc>
        <w:tc>
          <w:tcPr>
            <w:tcW w:type="dxa" w:w="3120"/>
          </w:tcPr>
          <w:p>
            <w:pPr>
              <w:jc w:val="center"/>
            </w:pPr>
            <w:r>
              <w:rPr>
                <w:rFonts w:ascii="Times New Roman" w:hAnsi="Times New Roman"/>
                <w:b/>
                <w:color w:val="000000"/>
                <w:sz w:val="20"/>
              </w:rPr>
              <w:t>Feature</w:t>
            </w:r>
          </w:p>
        </w:tc>
        <w:tc>
          <w:tcPr>
            <w:tcW w:type="dxa" w:w="3120"/>
          </w:tcPr>
          <w:p>
            <w:pPr>
              <w:jc w:val="center"/>
            </w:pPr>
            <w:r>
              <w:rPr>
                <w:rFonts w:ascii="Times New Roman" w:hAnsi="Times New Roman"/>
                <w:b/>
                <w:color w:val="000000"/>
                <w:sz w:val="20"/>
              </w:rPr>
              <w:t>Interpretation</w:t>
            </w:r>
          </w:p>
        </w:tc>
      </w:tr>
      <w:tr>
        <w:tc>
          <w:tcPr>
            <w:tcW w:type="dxa" w:w="3120"/>
          </w:tcPr>
          <w:p>
            <w:pPr>
              <w:jc w:val="center"/>
            </w:pPr>
            <w:r>
              <w:rPr>
                <w:rFonts w:ascii="Times New Roman" w:hAnsi="Times New Roman"/>
                <w:b w:val="0"/>
                <w:color w:val="000000"/>
                <w:sz w:val="20"/>
              </w:rPr>
              <w:t>1</w:t>
            </w:r>
          </w:p>
        </w:tc>
        <w:tc>
          <w:tcPr>
            <w:tcW w:type="dxa" w:w="3120"/>
          </w:tcPr>
          <w:p>
            <w:pPr>
              <w:jc w:val="center"/>
            </w:pPr>
            <w:r>
              <w:rPr>
                <w:rFonts w:ascii="Times New Roman" w:hAnsi="Times New Roman"/>
                <w:b w:val="0"/>
                <w:color w:val="000000"/>
                <w:sz w:val="20"/>
              </w:rPr>
              <w:t>has_national_id</w:t>
            </w:r>
          </w:p>
        </w:tc>
        <w:tc>
          <w:tcPr>
            <w:tcW w:type="dxa" w:w="3120"/>
          </w:tcPr>
          <w:p>
            <w:pPr>
              <w:jc w:val="center"/>
            </w:pPr>
            <w:r>
              <w:rPr>
                <w:rFonts w:ascii="Times New Roman" w:hAnsi="Times New Roman"/>
                <w:b w:val="0"/>
                <w:color w:val="000000"/>
                <w:sz w:val="20"/>
              </w:rPr>
              <w:t>Absence of national ID is the strongest single exclusion driver</w:t>
            </w:r>
          </w:p>
        </w:tc>
      </w:tr>
      <w:tr>
        <w:tc>
          <w:tcPr>
            <w:tcW w:type="dxa" w:w="3120"/>
          </w:tcPr>
          <w:p>
            <w:pPr>
              <w:jc w:val="center"/>
            </w:pPr>
            <w:r>
              <w:rPr>
                <w:rFonts w:ascii="Times New Roman" w:hAnsi="Times New Roman"/>
                <w:b w:val="0"/>
                <w:color w:val="000000"/>
                <w:sz w:val="20"/>
              </w:rPr>
              <w:t>2</w:t>
            </w:r>
          </w:p>
        </w:tc>
        <w:tc>
          <w:tcPr>
            <w:tcW w:type="dxa" w:w="3120"/>
          </w:tcPr>
          <w:p>
            <w:pPr>
              <w:jc w:val="center"/>
            </w:pPr>
            <w:r>
              <w:rPr>
                <w:rFonts w:ascii="Times New Roman" w:hAnsi="Times New Roman"/>
                <w:b w:val="0"/>
                <w:color w:val="000000"/>
                <w:sz w:val="20"/>
              </w:rPr>
              <w:t>has_proof_of_address</w:t>
            </w:r>
          </w:p>
        </w:tc>
        <w:tc>
          <w:tcPr>
            <w:tcW w:type="dxa" w:w="3120"/>
          </w:tcPr>
          <w:p>
            <w:pPr>
              <w:jc w:val="center"/>
            </w:pPr>
            <w:r>
              <w:rPr>
                <w:rFonts w:ascii="Times New Roman" w:hAnsi="Times New Roman"/>
                <w:b w:val="0"/>
                <w:color w:val="000000"/>
                <w:sz w:val="20"/>
              </w:rPr>
              <w:t>Absence of address proof — particularly acute in rural areas</w:t>
            </w:r>
          </w:p>
        </w:tc>
      </w:tr>
      <w:tr>
        <w:tc>
          <w:tcPr>
            <w:tcW w:type="dxa" w:w="3120"/>
          </w:tcPr>
          <w:p>
            <w:pPr>
              <w:jc w:val="center"/>
            </w:pPr>
            <w:r>
              <w:rPr>
                <w:rFonts w:ascii="Times New Roman" w:hAnsi="Times New Roman"/>
                <w:b w:val="0"/>
                <w:color w:val="000000"/>
                <w:sz w:val="20"/>
              </w:rPr>
              <w:t>3</w:t>
            </w:r>
          </w:p>
        </w:tc>
        <w:tc>
          <w:tcPr>
            <w:tcW w:type="dxa" w:w="3120"/>
          </w:tcPr>
          <w:p>
            <w:pPr>
              <w:jc w:val="center"/>
            </w:pPr>
            <w:r>
              <w:rPr>
                <w:rFonts w:ascii="Times New Roman" w:hAnsi="Times New Roman"/>
                <w:b w:val="0"/>
                <w:color w:val="000000"/>
                <w:sz w:val="20"/>
              </w:rPr>
              <w:t>income_quintile</w:t>
            </w:r>
          </w:p>
        </w:tc>
        <w:tc>
          <w:tcPr>
            <w:tcW w:type="dxa" w:w="3120"/>
          </w:tcPr>
          <w:p>
            <w:pPr>
              <w:jc w:val="center"/>
            </w:pPr>
            <w:r>
              <w:rPr>
                <w:rFonts w:ascii="Times New Roman" w:hAnsi="Times New Roman"/>
                <w:b w:val="0"/>
                <w:color w:val="000000"/>
                <w:sz w:val="20"/>
              </w:rPr>
              <w:t>Lower income strongly associated with exclusion across all models</w:t>
            </w:r>
          </w:p>
        </w:tc>
      </w:tr>
      <w:tr>
        <w:tc>
          <w:tcPr>
            <w:tcW w:type="dxa" w:w="3120"/>
          </w:tcPr>
          <w:p>
            <w:pPr>
              <w:jc w:val="center"/>
            </w:pPr>
            <w:r>
              <w:rPr>
                <w:rFonts w:ascii="Times New Roman" w:hAnsi="Times New Roman"/>
                <w:b w:val="0"/>
                <w:color w:val="000000"/>
                <w:sz w:val="20"/>
              </w:rPr>
              <w:t>4</w:t>
            </w:r>
          </w:p>
        </w:tc>
        <w:tc>
          <w:tcPr>
            <w:tcW w:type="dxa" w:w="3120"/>
          </w:tcPr>
          <w:p>
            <w:pPr>
              <w:jc w:val="center"/>
            </w:pPr>
            <w:r>
              <w:rPr>
                <w:rFonts w:ascii="Times New Roman" w:hAnsi="Times New Roman"/>
                <w:b w:val="0"/>
                <w:color w:val="000000"/>
                <w:sz w:val="20"/>
              </w:rPr>
              <w:t>location_Rural</w:t>
            </w:r>
          </w:p>
        </w:tc>
        <w:tc>
          <w:tcPr>
            <w:tcW w:type="dxa" w:w="3120"/>
          </w:tcPr>
          <w:p>
            <w:pPr>
              <w:jc w:val="center"/>
            </w:pPr>
            <w:r>
              <w:rPr>
                <w:rFonts w:ascii="Times New Roman" w:hAnsi="Times New Roman"/>
                <w:b w:val="0"/>
                <w:color w:val="000000"/>
                <w:sz w:val="20"/>
              </w:rPr>
              <w:t>Rural residence compounds documentation and distance barriers</w:t>
            </w:r>
          </w:p>
        </w:tc>
      </w:tr>
      <w:tr>
        <w:tc>
          <w:tcPr>
            <w:tcW w:type="dxa" w:w="3120"/>
          </w:tcPr>
          <w:p>
            <w:pPr>
              <w:jc w:val="center"/>
            </w:pPr>
            <w:r>
              <w:rPr>
                <w:rFonts w:ascii="Times New Roman" w:hAnsi="Times New Roman"/>
                <w:b w:val="0"/>
                <w:color w:val="000000"/>
                <w:sz w:val="20"/>
              </w:rPr>
              <w:t>5</w:t>
            </w:r>
          </w:p>
        </w:tc>
        <w:tc>
          <w:tcPr>
            <w:tcW w:type="dxa" w:w="3120"/>
          </w:tcPr>
          <w:p>
            <w:pPr>
              <w:jc w:val="center"/>
            </w:pPr>
            <w:r>
              <w:rPr>
                <w:rFonts w:ascii="Times New Roman" w:hAnsi="Times New Roman"/>
                <w:b w:val="0"/>
                <w:color w:val="000000"/>
                <w:sz w:val="20"/>
              </w:rPr>
              <w:t>has_mobile_phone</w:t>
            </w:r>
          </w:p>
        </w:tc>
        <w:tc>
          <w:tcPr>
            <w:tcW w:type="dxa" w:w="3120"/>
          </w:tcPr>
          <w:p>
            <w:pPr>
              <w:jc w:val="center"/>
            </w:pPr>
            <w:r>
              <w:rPr>
                <w:rFonts w:ascii="Times New Roman" w:hAnsi="Times New Roman"/>
                <w:b w:val="0"/>
                <w:color w:val="000000"/>
                <w:sz w:val="20"/>
              </w:rPr>
              <w:t>Mobile phone ownership reduces exclusion risk significantly</w:t>
            </w:r>
          </w:p>
        </w:tc>
      </w:tr>
      <w:tr>
        <w:tc>
          <w:tcPr>
            <w:tcW w:type="dxa" w:w="3120"/>
          </w:tcPr>
          <w:p>
            <w:pPr>
              <w:jc w:val="center"/>
            </w:pPr>
            <w:r>
              <w:rPr>
                <w:rFonts w:ascii="Times New Roman" w:hAnsi="Times New Roman"/>
                <w:b w:val="0"/>
                <w:color w:val="000000"/>
                <w:sz w:val="20"/>
              </w:rPr>
              <w:t>6</w:t>
            </w:r>
          </w:p>
        </w:tc>
        <w:tc>
          <w:tcPr>
            <w:tcW w:type="dxa" w:w="3120"/>
          </w:tcPr>
          <w:p>
            <w:pPr>
              <w:jc w:val="center"/>
            </w:pPr>
            <w:r>
              <w:rPr>
                <w:rFonts w:ascii="Times New Roman" w:hAnsi="Times New Roman"/>
                <w:b w:val="0"/>
                <w:color w:val="000000"/>
                <w:sz w:val="20"/>
              </w:rPr>
              <w:t>distance_to_branch_km</w:t>
            </w:r>
          </w:p>
        </w:tc>
        <w:tc>
          <w:tcPr>
            <w:tcW w:type="dxa" w:w="3120"/>
          </w:tcPr>
          <w:p>
            <w:pPr>
              <w:jc w:val="center"/>
            </w:pPr>
            <w:r>
              <w:rPr>
                <w:rFonts w:ascii="Times New Roman" w:hAnsi="Times New Roman"/>
                <w:b w:val="0"/>
                <w:color w:val="000000"/>
                <w:sz w:val="20"/>
              </w:rPr>
              <w:t>Greater distance to branch increases institutional access barriers</w:t>
            </w:r>
          </w:p>
        </w:tc>
      </w:tr>
      <w:tr>
        <w:tc>
          <w:tcPr>
            <w:tcW w:type="dxa" w:w="3120"/>
          </w:tcPr>
          <w:p>
            <w:pPr>
              <w:jc w:val="center"/>
            </w:pPr>
            <w:r>
              <w:rPr>
                <w:rFonts w:ascii="Times New Roman" w:hAnsi="Times New Roman"/>
                <w:b w:val="0"/>
                <w:color w:val="000000"/>
                <w:sz w:val="20"/>
              </w:rPr>
              <w:t>7</w:t>
            </w:r>
          </w:p>
        </w:tc>
        <w:tc>
          <w:tcPr>
            <w:tcW w:type="dxa" w:w="3120"/>
          </w:tcPr>
          <w:p>
            <w:pPr>
              <w:jc w:val="center"/>
            </w:pPr>
            <w:r>
              <w:rPr>
                <w:rFonts w:ascii="Times New Roman" w:hAnsi="Times New Roman"/>
                <w:b w:val="0"/>
                <w:color w:val="000000"/>
                <w:sz w:val="20"/>
              </w:rPr>
              <w:t>employment_sector_Informal</w:t>
            </w:r>
          </w:p>
        </w:tc>
        <w:tc>
          <w:tcPr>
            <w:tcW w:type="dxa" w:w="3120"/>
          </w:tcPr>
          <w:p>
            <w:pPr>
              <w:jc w:val="center"/>
            </w:pPr>
            <w:r>
              <w:rPr>
                <w:rFonts w:ascii="Times New Roman" w:hAnsi="Times New Roman"/>
                <w:b w:val="0"/>
                <w:color w:val="000000"/>
                <w:sz w:val="20"/>
              </w:rPr>
              <w:t>Informal employment associated with lack of formal documentation</w:t>
            </w:r>
          </w:p>
        </w:tc>
      </w:tr>
      <w:tr>
        <w:tc>
          <w:tcPr>
            <w:tcW w:type="dxa" w:w="3120"/>
          </w:tcPr>
          <w:p>
            <w:pPr>
              <w:jc w:val="center"/>
            </w:pPr>
            <w:r>
              <w:rPr>
                <w:rFonts w:ascii="Times New Roman" w:hAnsi="Times New Roman"/>
                <w:b w:val="0"/>
                <w:color w:val="000000"/>
                <w:sz w:val="20"/>
              </w:rPr>
              <w:t>8</w:t>
            </w:r>
          </w:p>
        </w:tc>
        <w:tc>
          <w:tcPr>
            <w:tcW w:type="dxa" w:w="3120"/>
          </w:tcPr>
          <w:p>
            <w:pPr>
              <w:jc w:val="center"/>
            </w:pPr>
            <w:r>
              <w:rPr>
                <w:rFonts w:ascii="Times New Roman" w:hAnsi="Times New Roman"/>
                <w:b w:val="0"/>
                <w:color w:val="000000"/>
                <w:sz w:val="20"/>
              </w:rPr>
              <w:t>kyc_doc_score</w:t>
            </w:r>
          </w:p>
        </w:tc>
        <w:tc>
          <w:tcPr>
            <w:tcW w:type="dxa" w:w="3120"/>
          </w:tcPr>
          <w:p>
            <w:pPr>
              <w:jc w:val="center"/>
            </w:pPr>
            <w:r>
              <w:rPr>
                <w:rFonts w:ascii="Times New Roman" w:hAnsi="Times New Roman"/>
                <w:b w:val="0"/>
                <w:color w:val="000000"/>
                <w:sz w:val="20"/>
              </w:rPr>
              <w:t>Composite KYC score captures overall documentation completeness</w:t>
            </w:r>
          </w:p>
        </w:tc>
      </w:tr>
      <w:tr>
        <w:tc>
          <w:tcPr>
            <w:tcW w:type="dxa" w:w="3120"/>
          </w:tcPr>
          <w:p>
            <w:pPr>
              <w:jc w:val="center"/>
            </w:pPr>
            <w:r>
              <w:rPr>
                <w:rFonts w:ascii="Times New Roman" w:hAnsi="Times New Roman"/>
                <w:b w:val="0"/>
                <w:color w:val="000000"/>
                <w:sz w:val="20"/>
              </w:rPr>
              <w:t>9</w:t>
            </w:r>
          </w:p>
        </w:tc>
        <w:tc>
          <w:tcPr>
            <w:tcW w:type="dxa" w:w="3120"/>
          </w:tcPr>
          <w:p>
            <w:pPr>
              <w:jc w:val="center"/>
            </w:pPr>
            <w:r>
              <w:rPr>
                <w:rFonts w:ascii="Times New Roman" w:hAnsi="Times New Roman"/>
                <w:b w:val="0"/>
                <w:color w:val="000000"/>
                <w:sz w:val="20"/>
              </w:rPr>
              <w:t>has_tin</w:t>
            </w:r>
          </w:p>
        </w:tc>
        <w:tc>
          <w:tcPr>
            <w:tcW w:type="dxa" w:w="3120"/>
          </w:tcPr>
          <w:p>
            <w:pPr>
              <w:jc w:val="center"/>
            </w:pPr>
            <w:r>
              <w:rPr>
                <w:rFonts w:ascii="Times New Roman" w:hAnsi="Times New Roman"/>
                <w:b w:val="0"/>
                <w:color w:val="000000"/>
                <w:sz w:val="20"/>
              </w:rPr>
              <w:t>TIN absence reflects informal/subsistence economic participation</w:t>
            </w:r>
          </w:p>
        </w:tc>
      </w:tr>
      <w:tr>
        <w:tc>
          <w:tcPr>
            <w:tcW w:type="dxa" w:w="3120"/>
          </w:tcPr>
          <w:p>
            <w:pPr>
              <w:jc w:val="center"/>
            </w:pPr>
            <w:r>
              <w:rPr>
                <w:rFonts w:ascii="Times New Roman" w:hAnsi="Times New Roman"/>
                <w:b w:val="0"/>
                <w:color w:val="000000"/>
                <w:sz w:val="20"/>
              </w:rPr>
              <w:t>10</w:t>
            </w:r>
          </w:p>
        </w:tc>
        <w:tc>
          <w:tcPr>
            <w:tcW w:type="dxa" w:w="3120"/>
          </w:tcPr>
          <w:p>
            <w:pPr>
              <w:jc w:val="center"/>
            </w:pPr>
            <w:r>
              <w:rPr>
                <w:rFonts w:ascii="Times New Roman" w:hAnsi="Times New Roman"/>
                <w:b w:val="0"/>
                <w:color w:val="000000"/>
                <w:sz w:val="20"/>
              </w:rPr>
              <w:t>education_level_None</w:t>
            </w:r>
          </w:p>
        </w:tc>
        <w:tc>
          <w:tcPr>
            <w:tcW w:type="dxa" w:w="3120"/>
          </w:tcPr>
          <w:p>
            <w:pPr>
              <w:jc w:val="center"/>
            </w:pPr>
            <w:r>
              <w:rPr>
                <w:rFonts w:ascii="Times New Roman" w:hAnsi="Times New Roman"/>
                <w:b w:val="0"/>
                <w:color w:val="000000"/>
                <w:sz w:val="20"/>
              </w:rPr>
              <w:t>No formal education linked to documentation unawareness and poverty</w:t>
            </w:r>
          </w:p>
        </w:tc>
      </w:tr>
    </w:tbl>
    <w:p/>
    <w:p>
      <w:pPr>
        <w:spacing w:before="0" w:after="120" w:line="360" w:lineRule="exact"/>
        <w:jc w:val="both"/>
      </w:pPr>
      <w:r>
        <w:rPr>
          <w:rFonts w:ascii="Times New Roman" w:hAnsi="Times New Roman"/>
          <w:b w:val="0"/>
          <w:color w:val="000000"/>
          <w:sz w:val="24"/>
        </w:rPr>
        <w:t>The SHAP (SHapley Additive exPlanations) analysis of the Gradient Boosting model (Figure fig7d_shap_summary.png) provides a model-agnostic confirmation of these rankings. The SHAP beeswarm plot shows that has_national_id contributes the largest absolute SHAP value for excluded individuals, with missing national ID consistently shifting predicted exclusion probability upward by the largest margin. The SHAP analysis further reveals that the effect of income quintile is non-linear: the protective effect of income is largest in the transition from quintile 1 to quintile 2, diminishing progressively in higher quintiles, a pattern consistent with a threshold dynamic in documentation acquisition rather than a purely continuous income-documentation relationship.</w:t>
      </w:r>
    </w:p>
    <w:p>
      <w:pPr>
        <w:spacing w:before="240" w:after="120" w:line="420" w:lineRule="exact"/>
        <w:jc w:val="left"/>
      </w:pPr>
      <w:r>
        <w:rPr>
          <w:rFonts w:ascii="Times New Roman" w:hAnsi="Times New Roman"/>
          <w:b/>
          <w:color w:val="000000"/>
          <w:sz w:val="28"/>
        </w:rPr>
        <w:t>4.8 Outliers and Anomalies</w:t>
      </w:r>
    </w:p>
    <w:p>
      <w:pPr>
        <w:spacing w:before="0" w:after="120" w:line="360" w:lineRule="exact"/>
        <w:jc w:val="both"/>
      </w:pPr>
      <w:r>
        <w:rPr>
          <w:rFonts w:ascii="Times New Roman" w:hAnsi="Times New Roman"/>
          <w:b w:val="0"/>
          <w:color w:val="000000"/>
          <w:sz w:val="24"/>
        </w:rPr>
        <w:t>Inspection of the dataset identified no implausible values or data quality anomalies requiring exclusion. The distance to branch variable exhibited a strongly right-skewed distribution, with a maximum of 150 km (consistent with geographic remoteness in rural provinces such as Matabeleland North), a median of 4.1 km, and a 75th percentile of 12.6 km. This skewness reflects the genuine geographic concentration of banking infrastructure in urban centres and is not a data error. The variable was retained without transformation, as tree-based models are invariant to monotonic transformations of input features, and the StandardScaler normalisation applied for Logistic Regression accommodates distributional asymmetry without requiring log-transformation.</w:t>
      </w:r>
    </w:p>
    <w:p>
      <w:pPr>
        <w:spacing w:before="0" w:after="120" w:line="360" w:lineRule="exact"/>
        <w:jc w:val="both"/>
      </w:pPr>
      <w:r>
        <w:rPr>
          <w:rFonts w:ascii="Times New Roman" w:hAnsi="Times New Roman"/>
          <w:b w:val="0"/>
          <w:color w:val="000000"/>
          <w:sz w:val="24"/>
        </w:rPr>
        <w:t>The 224 Critical Risk individuals in the FERI distribution represent a genuine high-risk tail rather than statistical outliers. These individuals are characterised by the simultaneous combination of zero or one KYC documents, rural location, unemployment or informal employment, lowest income quintile, no mobile phone, and location in a remote province. Their extreme FERI scores (65–91) are a substantively meaningful finding rather than an anomaly, reflecting real population segments in Zimbabwe whose financial exclusion is structurally overdetermined.</w:t>
      </w:r>
    </w:p>
    <w:p>
      <w:pPr>
        <w:spacing w:before="240" w:after="120" w:line="420" w:lineRule="exact"/>
        <w:jc w:val="left"/>
      </w:pPr>
      <w:r>
        <w:rPr>
          <w:rFonts w:ascii="Times New Roman" w:hAnsi="Times New Roman"/>
          <w:b/>
          <w:color w:val="000000"/>
          <w:sz w:val="28"/>
        </w:rPr>
        <w:t>4.9 Robustness and Sensitivity Analysis</w:t>
      </w:r>
    </w:p>
    <w:p>
      <w:pPr>
        <w:spacing w:before="0" w:after="120" w:line="360" w:lineRule="exact"/>
        <w:jc w:val="both"/>
      </w:pPr>
      <w:r>
        <w:rPr>
          <w:rFonts w:ascii="Times New Roman" w:hAnsi="Times New Roman"/>
          <w:b w:val="0"/>
          <w:color w:val="000000"/>
          <w:sz w:val="24"/>
        </w:rPr>
        <w:t>The robustness of the model findings was assessed through three mechanisms. First, the stratified five-fold cross-validation confirmed that all three models produce stable performance estimates across different training-validation partitions, with standard deviations in ROC-AUC below 0.02 for all models. Second, the consistency of feature importance rankings across three architecturally distinct model families — linear, bagging ensemble, and boosting ensemble — confirms that the identified predictors of exclusion are a genuine property of the data rather than an artefact of any single modelling assumption. Third, the FERI index was examined for sensitivity to its sub-index weights: shifting the KYC documentation weight between 0.40 and 0.50 (±10% from the central value of 0.45) produces less than a 2-point change in mean FERI score and does not alter the ranking of the top five highest-risk demographic groups, confirming that the policy conclusions are not sensitive to moderate perturbations in the weighting scheme.</w:t>
      </w:r>
    </w:p>
    <w:p>
      <w:pPr>
        <w:spacing w:before="0" w:after="120" w:line="360" w:lineRule="exact"/>
        <w:jc w:val="both"/>
      </w:pPr>
      <w:r>
        <w:rPr>
          <w:rFonts w:ascii="Times New Roman" w:hAnsi="Times New Roman"/>
          <w:b w:val="0"/>
          <w:color w:val="000000"/>
          <w:sz w:val="24"/>
        </w:rPr>
        <w:t>The calibration accuracy of the synthetic dataset was assessed against FinScope 2022 targets (Table 3.2). The generated overall exclusion rate (36.4%) falls within 1.6 percentage points of the FinScope target (38.0%), and gender and formal-sector differentials are closely reproduced. Larger discrepancies were observed for informal sector (−13.3 pp) and unemployed (−23.4 pp) exclusion rates. These gaps are acknowledged as a limitation of the synthetic data approach but do not materially affect the directional conclusions of the analysis: in both the generated data and the FinScope population, informal sector and unemployed workers face substantially higher exclusion rates than the overall average, and the identified feature importance rankings remain stable under the calibration errors observed.</w:t>
      </w:r>
    </w:p>
    <w:p>
      <w:pPr>
        <w:spacing w:before="240" w:after="120" w:line="420" w:lineRule="exact"/>
        <w:jc w:val="left"/>
      </w:pPr>
      <w:r>
        <w:rPr>
          <w:rFonts w:ascii="Times New Roman" w:hAnsi="Times New Roman"/>
          <w:b/>
          <w:color w:val="000000"/>
          <w:sz w:val="28"/>
        </w:rPr>
        <w:t>4.10 Discussion and Interpretation</w:t>
      </w:r>
    </w:p>
    <w:p>
      <w:pPr>
        <w:spacing w:before="240" w:after="120" w:line="360" w:lineRule="exact"/>
        <w:jc w:val="left"/>
      </w:pPr>
      <w:r>
        <w:rPr>
          <w:rFonts w:ascii="Times New Roman" w:hAnsi="Times New Roman"/>
          <w:b/>
          <w:color w:val="000000"/>
          <w:sz w:val="24"/>
        </w:rPr>
        <w:t>Recap of Key Findings</w:t>
      </w:r>
    </w:p>
    <w:p>
      <w:pPr>
        <w:spacing w:before="0" w:after="120" w:line="360" w:lineRule="exact"/>
        <w:jc w:val="both"/>
      </w:pPr>
      <w:r>
        <w:rPr>
          <w:rFonts w:ascii="Times New Roman" w:hAnsi="Times New Roman"/>
          <w:b w:val="0"/>
          <w:color w:val="000000"/>
          <w:sz w:val="24"/>
        </w:rPr>
        <w:t>The results reported in this chapter converge on three overarching findings. First, KYC documentation gaps — particularly the absence of a national identity document and proof of residential address — are the primary proximate predictors of financial exclusion in Zimbabwe, accounting for the largest marginal effects in all three classification models and the largest weights in the FERI index. Second, these documentation deficits are not randomly distributed: they cluster in identifiable demographic groups (rural, low-income, informally employed, uneducated) in ways that produce severe compound exclusion risk for those at the intersection of multiple disadvantaged categories. Third, all three machine learning models confirm that a strong, consistent, and largely linear predictive signal exists between KYC-related features and exclusion status, validating the analytical approach and supporting the policy implications drawn from the results.</w:t>
      </w:r>
    </w:p>
    <w:p>
      <w:pPr>
        <w:spacing w:before="240" w:after="120" w:line="360" w:lineRule="exact"/>
        <w:jc w:val="left"/>
      </w:pPr>
      <w:r>
        <w:rPr>
          <w:rFonts w:ascii="Times New Roman" w:hAnsi="Times New Roman"/>
          <w:b/>
          <w:color w:val="000000"/>
          <w:sz w:val="24"/>
        </w:rPr>
        <w:t>Interpretation of Results</w:t>
      </w:r>
    </w:p>
    <w:p>
      <w:pPr>
        <w:spacing w:before="0" w:after="120" w:line="360" w:lineRule="exact"/>
        <w:jc w:val="both"/>
      </w:pPr>
      <w:r>
        <w:rPr>
          <w:rFonts w:ascii="Times New Roman" w:hAnsi="Times New Roman"/>
          <w:b w:val="0"/>
          <w:color w:val="000000"/>
          <w:sz w:val="24"/>
        </w:rPr>
        <w:t>The finding that Logistic Regression achieves the highest ROC-AUC is analytically significant. It implies that the mapping from KYC barriers to financial exclusion is predominantly additive in log-odds space — that is, each additional missing document or demographic risk factor independently increases exclusion probability without large interaction effects. This is consistent with the conceptual framework established in Chapter 2: KYC barriers act as cumulative gatekeeping mechanisms, with each missing document representing a separate hurdle that can independently trigger account opening rejection. The implication for policy is that incremental interventions — removing one documentation requirement at a time — are likely to produce measurable reductions in exclusion, rather than requiring comprehensive simultaneous reform.</w:t>
      </w:r>
    </w:p>
    <w:p>
      <w:pPr>
        <w:spacing w:before="0" w:after="120" w:line="360" w:lineRule="exact"/>
        <w:jc w:val="both"/>
      </w:pPr>
      <w:r>
        <w:rPr>
          <w:rFonts w:ascii="Times New Roman" w:hAnsi="Times New Roman"/>
          <w:b w:val="0"/>
          <w:color w:val="000000"/>
          <w:sz w:val="24"/>
        </w:rPr>
        <w:t>The FERI analysis adds a distributional dimension to the model findings. The concentration of 4.5% of the population (n = 224) in the Critical Risk band identifies a specific group for whom standard regulatory accommodation — such as accepting a voter registration card in lieu of a national ID card — is insufficient. This group requires more comprehensive intervention: mobile identity verification, community-based onboarding, or agent banking in remote locations. The 20.5% in the High Risk band (n = 1,026) represents the primary target population for a Tier 2 tiered KYC framework, where a national ID plus one alternative corroborating document should be sufficient for standard savings and credit products.</w:t>
      </w:r>
    </w:p>
    <w:p>
      <w:pPr>
        <w:spacing w:before="240" w:after="120" w:line="360" w:lineRule="exact"/>
        <w:jc w:val="left"/>
      </w:pPr>
      <w:r>
        <w:rPr>
          <w:rFonts w:ascii="Times New Roman" w:hAnsi="Times New Roman"/>
          <w:b/>
          <w:color w:val="000000"/>
          <w:sz w:val="24"/>
        </w:rPr>
        <w:t>Comparison with Prior Knowledge</w:t>
      </w:r>
    </w:p>
    <w:p>
      <w:pPr>
        <w:spacing w:before="0" w:after="120" w:line="360" w:lineRule="exact"/>
        <w:jc w:val="both"/>
      </w:pPr>
      <w:r>
        <w:rPr>
          <w:rFonts w:ascii="Times New Roman" w:hAnsi="Times New Roman"/>
          <w:b w:val="0"/>
          <w:color w:val="000000"/>
          <w:sz w:val="24"/>
        </w:rPr>
        <w:t>The results are broadly consistent with the international literature on KYC and financial exclusion reviewed in Chapter 2. Ambrosius and Cuadros-Meñaca (2022) found that stricter AML/KYC requirements in Latin American markets produced statistically significant exclusion increases among low-income, low-documentation populations — a pattern directly reproduced in the Zimbabwean context modelled here. The finding that rural exclusion rates are approximately 3.6 times higher than urban rates (61.0% versus 16.9%) aligns with the structural geographic exclusion patterns identified by FinScope Zimbabwe (2022) and with the de-risking literature's observation that geographic remoteness compounds documentation barriers through institutional access scarcity.</w:t>
      </w:r>
    </w:p>
    <w:p>
      <w:pPr>
        <w:spacing w:before="240" w:after="120" w:line="360" w:lineRule="exact"/>
        <w:jc w:val="left"/>
      </w:pPr>
      <w:r>
        <w:rPr>
          <w:rFonts w:ascii="Times New Roman" w:hAnsi="Times New Roman"/>
          <w:b/>
          <w:color w:val="000000"/>
          <w:sz w:val="24"/>
        </w:rPr>
        <w:t>Validation and Robustness</w:t>
      </w:r>
    </w:p>
    <w:p>
      <w:pPr>
        <w:spacing w:before="0" w:after="120" w:line="360" w:lineRule="exact"/>
        <w:jc w:val="both"/>
      </w:pPr>
      <w:r>
        <w:rPr>
          <w:rFonts w:ascii="Times New Roman" w:hAnsi="Times New Roman"/>
          <w:b w:val="0"/>
          <w:color w:val="000000"/>
          <w:sz w:val="24"/>
        </w:rPr>
        <w:t>The external validity of these findings is bounded by the synthetic nature of the dataset. The calibration check confirms alignment with the FinScope 2022 overall exclusion rate and most demographic subgroup rates, but discrepancies in the informal sector and unemployed rates mean that the precise magnitude of exclusion effects in these groups should be interpreted with caution. The directional conclusions — that KYC documentation absence, rural location, and low income are the primary drivers of financial exclusion in Zimbabwe — are well-supported by both the modelling results and the broader empirical literature, and are unlikely to be materially altered by the calibration imprecision observed. The stability of results across three model families and five cross-validation folds provides additional assurance that the findings represent genuine patterns rather than overfitting artefacts.</w:t>
      </w:r>
    </w:p>
    <w:p>
      <w:pPr>
        <w:spacing w:before="240" w:after="120" w:line="420" w:lineRule="exact"/>
        <w:jc w:val="left"/>
      </w:pPr>
      <w:r>
        <w:rPr>
          <w:rFonts w:ascii="Times New Roman" w:hAnsi="Times New Roman"/>
          <w:b/>
          <w:color w:val="000000"/>
          <w:sz w:val="28"/>
        </w:rPr>
        <w:t>4.11 Chapter Summary</w:t>
      </w:r>
    </w:p>
    <w:p>
      <w:pPr>
        <w:spacing w:before="0" w:after="120" w:line="360" w:lineRule="exact"/>
        <w:jc w:val="both"/>
      </w:pPr>
      <w:r>
        <w:rPr>
          <w:rFonts w:ascii="Times New Roman" w:hAnsi="Times New Roman"/>
          <w:b w:val="0"/>
          <w:color w:val="000000"/>
          <w:sz w:val="24"/>
        </w:rPr>
        <w:t>Chapter 4 has presented the full empirical results of the study, organised around the five research objectives. The three classification models — Logistic Regression, Random Forest, and Gradient Boosting — all achieved ROC-AUC scores above 0.83 on the held-out test set, with Logistic Regression leading at 0.8485. Feature importance analysis consistently identified has_national_id and has_proof_of_address as the two dominant predictors of financial exclusion, followed by income quintile, rural location, and mobile phone ownership.</w:t>
      </w:r>
    </w:p>
    <w:p>
      <w:pPr>
        <w:spacing w:before="0" w:after="120" w:line="360" w:lineRule="exact"/>
        <w:jc w:val="both"/>
      </w:pPr>
      <w:r>
        <w:rPr>
          <w:rFonts w:ascii="Times New Roman" w:hAnsi="Times New Roman"/>
          <w:b w:val="0"/>
          <w:color w:val="000000"/>
          <w:sz w:val="24"/>
        </w:rPr>
        <w:t>The Financial Exclusion Risk Index produced a mean population score of 30.83 (SD = 19.25), with 4.5% of individuals in the Critical Risk band and 20.5% in the High Risk band. The five most severely affected demographic groups — lowest income quintile (65.6% excluded), no formal education (59.6%), rural residents (61.0%), unemployed adults (46.6%), and informal sector workers (42.7%) — were clearly identified and quantified, providing a direct evidential basis for the targeted policy recommendations presented in Chapter 5. The discussion confirmed that results are robust across model families and cross-validation partitions, and are consistent with the international empirical literature on KYC-driven financial exclusion.</w:t>
      </w:r>
    </w:p>
    <w:p>
      <w:pPr>
        <w:spacing w:before="240" w:after="120" w:line="420" w:lineRule="exact"/>
        <w:jc w:val="left"/>
      </w:pPr>
      <w:r>
        <w:rPr>
          <w:rFonts w:ascii="Times New Roman" w:hAnsi="Times New Roman"/>
          <w:b/>
          <w:color w:val="000000"/>
          <w:sz w:val="28"/>
        </w:rPr>
        <w:t>References (Chapter 4)</w:t>
      </w:r>
    </w:p>
    <w:p>
      <w:pPr>
        <w:spacing w:after="80" w:line="320" w:lineRule="exact"/>
        <w:ind w:left="720" w:hanging="720"/>
        <w:jc w:val="both"/>
      </w:pPr>
      <w:r>
        <w:rPr>
          <w:rFonts w:ascii="Times New Roman" w:hAnsi="Times New Roman"/>
          <w:b w:val="0"/>
          <w:color w:val="000000"/>
          <w:sz w:val="22"/>
        </w:rPr>
        <w:t>Ambrosius, C. and Cuadros-Meñaca, A. (2022) 'AML/KYC regulations and financial inclusion in Latin American banking', Journal of Development Economics, 158, p. 102934.</w:t>
      </w:r>
    </w:p>
    <w:p>
      <w:pPr>
        <w:spacing w:after="80" w:line="320" w:lineRule="exact"/>
        <w:ind w:left="720" w:hanging="720"/>
        <w:jc w:val="both"/>
      </w:pPr>
      <w:r>
        <w:rPr>
          <w:rFonts w:ascii="Times New Roman" w:hAnsi="Times New Roman"/>
          <w:b w:val="0"/>
          <w:color w:val="000000"/>
          <w:sz w:val="22"/>
        </w:rPr>
        <w:t>FinScope Zimbabwe (2022) FinScope consumer survey Zimbabwe 2022. Harare: FinMark Trust.</w:t>
      </w:r>
    </w:p>
    <w:p>
      <w:pPr>
        <w:spacing w:after="80" w:line="320" w:lineRule="exact"/>
        <w:ind w:left="720" w:hanging="720"/>
        <w:jc w:val="both"/>
      </w:pPr>
      <w:r>
        <w:rPr>
          <w:rFonts w:ascii="Times New Roman" w:hAnsi="Times New Roman"/>
          <w:b w:val="0"/>
          <w:color w:val="000000"/>
          <w:sz w:val="22"/>
        </w:rPr>
        <w:t>Hosmer, D. W. and Lemeshow, S. (2013) Applied logistic regression. 3rd edn. Hoboken, NJ: John Wiley &amp; Sons.</w:t>
      </w:r>
    </w:p>
    <w:p>
      <w:pPr>
        <w:spacing w:after="80" w:line="320" w:lineRule="exact"/>
        <w:ind w:left="720" w:hanging="720"/>
        <w:jc w:val="both"/>
      </w:pPr>
      <w:r>
        <w:rPr>
          <w:rFonts w:ascii="Times New Roman" w:hAnsi="Times New Roman"/>
          <w:b w:val="0"/>
          <w:color w:val="000000"/>
          <w:sz w:val="22"/>
        </w:rPr>
        <w:t>Lundberg, S. M. and Lee, S.-I. (2017) 'A unified approach to interpreting model predictions', Advances in Neural Information Processing Systems, 30, pp. 4765–4774.</w:t>
      </w:r>
    </w:p>
    <w:p>
      <w:pPr>
        <w:spacing w:after="80" w:line="320" w:lineRule="exact"/>
        <w:ind w:left="720" w:hanging="720"/>
        <w:jc w:val="both"/>
      </w:pPr>
      <w:r>
        <w:rPr>
          <w:rFonts w:ascii="Times New Roman" w:hAnsi="Times New Roman"/>
          <w:b w:val="0"/>
          <w:color w:val="000000"/>
          <w:sz w:val="22"/>
        </w:rPr>
        <w:t>Reserve Bank of Zimbabwe (2022) Zimbabwe National Financial Inclusion Strategy II (ZNFIS II), 2022–2026. Harare: Reserve Bank of Zimbabwe.</w:t>
      </w:r>
    </w:p>
    <w:p>
      <w:pPr>
        <w:spacing w:after="80" w:line="320" w:lineRule="exact"/>
        <w:ind w:left="720" w:hanging="720"/>
        <w:jc w:val="both"/>
      </w:pPr>
      <w:r>
        <w:rPr>
          <w:rFonts w:ascii="Times New Roman" w:hAnsi="Times New Roman"/>
          <w:b w:val="0"/>
          <w:color w:val="000000"/>
          <w:sz w:val="22"/>
        </w:rPr>
        <w:t>World Bank (2022) The global findex database 2021: Financial inclusion, digital payments, and resilience in the age of COVID-19. Washington, DC: World Bank.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