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420" w:lineRule="exact"/>
        <w:jc w:val="left"/>
      </w:pPr>
      <w:r>
        <w:rPr>
          <w:rFonts w:ascii="Times New Roman" w:hAnsi="Times New Roman"/>
          <w:b/>
          <w:color w:val="000000"/>
          <w:sz w:val="28"/>
        </w:rPr>
        <w:t>Chapter 5: Conclusions and Policy Recommendations</w:t>
      </w:r>
    </w:p>
    <w:p>
      <w:pPr>
        <w:spacing w:before="240" w:after="120" w:line="420" w:lineRule="exact"/>
        <w:jc w:val="left"/>
      </w:pPr>
      <w:r>
        <w:rPr>
          <w:rFonts w:ascii="Times New Roman" w:hAnsi="Times New Roman"/>
          <w:b/>
          <w:color w:val="000000"/>
          <w:sz w:val="28"/>
        </w:rPr>
        <w:t>5.1 Introduction</w:t>
      </w:r>
    </w:p>
    <w:p>
      <w:pPr>
        <w:spacing w:before="0" w:after="120" w:line="360" w:lineRule="exact"/>
        <w:jc w:val="both"/>
      </w:pPr>
      <w:r>
        <w:rPr>
          <w:rFonts w:ascii="Times New Roman" w:hAnsi="Times New Roman"/>
          <w:b w:val="0"/>
          <w:color w:val="000000"/>
          <w:sz w:val="24"/>
        </w:rPr>
        <w:t>This concluding chapter synthesises the empirical findings presented in Chapter 4, returns to the research objectives and questions formulated in Chapter 1, and draws out the broader implications of the study for financial inclusion policy in Zimbabwe. The chapter is organised as follows. Section 5.2 provides a concise summary of principal findings mapped to each of the five research objectives. Section 5.3 presents the study's conclusions in relation to the existing literature. Section 5.4 sets out detailed evidence-based policy recommendations targeted at the Reserve Bank of Zimbabwe, regulated financial institutions, and the Government of Zimbabwe. Section 5.5 acknowledges the limitations of the study. Section 5.6 proposes directions for future research. The chapter closes with a final summary in Section 5.7.</w:t>
      </w:r>
    </w:p>
    <w:p>
      <w:pPr>
        <w:spacing w:before="0" w:after="120" w:line="360" w:lineRule="exact"/>
        <w:jc w:val="both"/>
      </w:pPr>
      <w:r>
        <w:rPr>
          <w:rFonts w:ascii="Times New Roman" w:hAnsi="Times New Roman"/>
          <w:b w:val="0"/>
          <w:color w:val="000000"/>
          <w:sz w:val="24"/>
        </w:rPr>
        <w:t>The overarching research question motivating this study was: to what extent do KYC compliance requirements act as barriers to financial inclusion in Zimbabwe, and which demographic groups bear the greatest burden of those barriers? The analytical pipeline — encompassing synthetic data generation, machine learning classification, and the Financial Exclusion Risk Index — has produced quantitative answers to this question that carry clear and actionable policy implications.</w:t>
      </w:r>
    </w:p>
    <w:p>
      <w:pPr>
        <w:spacing w:before="240" w:after="120" w:line="420" w:lineRule="exact"/>
        <w:jc w:val="left"/>
      </w:pPr>
      <w:r>
        <w:rPr>
          <w:rFonts w:ascii="Times New Roman" w:hAnsi="Times New Roman"/>
          <w:b/>
          <w:color w:val="000000"/>
          <w:sz w:val="28"/>
        </w:rPr>
        <w:t>5.2 Summary of Principal Findings</w:t>
      </w:r>
    </w:p>
    <w:p>
      <w:pPr>
        <w:spacing w:before="240" w:after="120" w:line="360" w:lineRule="exact"/>
        <w:jc w:val="left"/>
      </w:pPr>
      <w:r>
        <w:rPr>
          <w:rFonts w:ascii="Times New Roman" w:hAnsi="Times New Roman"/>
          <w:b/>
          <w:color w:val="000000"/>
          <w:sz w:val="24"/>
        </w:rPr>
        <w:t>5.2.1 Objective 1: Modelling the Impact of KYC Compliance Gaps</w:t>
      </w:r>
    </w:p>
    <w:p>
      <w:pPr>
        <w:spacing w:before="0" w:after="120" w:line="360" w:lineRule="exact"/>
        <w:jc w:val="both"/>
      </w:pPr>
      <w:r>
        <w:rPr>
          <w:rFonts w:ascii="Times New Roman" w:hAnsi="Times New Roman"/>
          <w:b w:val="0"/>
          <w:color w:val="000000"/>
          <w:sz w:val="24"/>
        </w:rPr>
        <w:t>The three classification models — Logistic Regression, Random Forest, and Gradient Boosting (XGBoost) — all achieved ROC-AUC scores above 0.83, confirming that KYC documentation variables carry substantial and statistically robust predictive signal with respect to financial exclusion status. Logistic Regression attained the highest ROC-AUC (0.8485) and F1-score (0.700), demonstrating that the core relationship between KYC barriers and exclusion is predominantly additive in log-odds space. This finding confirms the study's first hypothesis: KYC compliance gaps are a significant, measurable, and quantifiable driver of financial exclusion in Zimbabwe.</w:t>
      </w:r>
    </w:p>
    <w:p>
      <w:pPr>
        <w:spacing w:before="240" w:after="120" w:line="360" w:lineRule="exact"/>
        <w:jc w:val="left"/>
      </w:pPr>
      <w:r>
        <w:rPr>
          <w:rFonts w:ascii="Times New Roman" w:hAnsi="Times New Roman"/>
          <w:b/>
          <w:color w:val="000000"/>
          <w:sz w:val="24"/>
        </w:rPr>
        <w:t>5.2.2 Objective 2: Identifying Key KYC-Related Predictors</w:t>
      </w:r>
    </w:p>
    <w:p>
      <w:pPr>
        <w:spacing w:before="0" w:after="120" w:line="360" w:lineRule="exact"/>
        <w:jc w:val="both"/>
      </w:pPr>
      <w:r>
        <w:rPr>
          <w:rFonts w:ascii="Times New Roman" w:hAnsi="Times New Roman"/>
          <w:b w:val="0"/>
          <w:color w:val="000000"/>
          <w:sz w:val="24"/>
        </w:rPr>
        <w:t>Feature importance analysis across all three models consistently identified has_national_id and has_proof_of_address as the two strongest individual predictors of financial exclusion. The absence of a national identity document carries an estimated log-odds coefficient of +1.8 in the Logistic Regression model — the largest single marginal effect in the model — while absence of proof of address contributes +1.2. Income quintile, rural location, and mobile phone ownership consistently ranked within the top five predictors across all three models. These findings directly identify the documentation categories requiring the most urgent regulatory attention.</w:t>
      </w:r>
    </w:p>
    <w:p>
      <w:pPr>
        <w:spacing w:before="240" w:after="120" w:line="360" w:lineRule="exact"/>
        <w:jc w:val="left"/>
      </w:pPr>
      <w:r>
        <w:rPr>
          <w:rFonts w:ascii="Times New Roman" w:hAnsi="Times New Roman"/>
          <w:b/>
          <w:color w:val="000000"/>
          <w:sz w:val="24"/>
        </w:rPr>
        <w:t>5.2.3 Objective 3: Constructing the Financial Exclusion Risk Index</w:t>
      </w:r>
    </w:p>
    <w:p>
      <w:pPr>
        <w:spacing w:before="0" w:after="120" w:line="360" w:lineRule="exact"/>
        <w:jc w:val="both"/>
      </w:pPr>
      <w:r>
        <w:rPr>
          <w:rFonts w:ascii="Times New Roman" w:hAnsi="Times New Roman"/>
          <w:b w:val="0"/>
          <w:color w:val="000000"/>
          <w:sz w:val="24"/>
        </w:rPr>
        <w:t>The FERI was successfully constructed and validated across the full population of 5,000 observations. The index demonstrated strong construct validity: mean FERI scores increased monotonically with known exclusion risk, from 11.5 for the highest income quintile to 50.1 for the lowest. Criterion validity was confirmed by the monotonic relationship between FERI risk bands and observed exclusion rates, ranging from approximately 14% in the Low Risk band to approximately 78% in the Critical Risk band. The 4.5% of the population in the Critical Risk band represents a priority intervention population exhibiting severe compound disadvantage across all three sub-indices simultaneously.</w:t>
      </w:r>
    </w:p>
    <w:p>
      <w:pPr>
        <w:spacing w:before="240" w:after="120" w:line="360" w:lineRule="exact"/>
        <w:jc w:val="left"/>
      </w:pPr>
      <w:r>
        <w:rPr>
          <w:rFonts w:ascii="Times New Roman" w:hAnsi="Times New Roman"/>
          <w:b/>
          <w:color w:val="000000"/>
          <w:sz w:val="24"/>
        </w:rPr>
        <w:t>5.2.4 Objective 4: Comparing Model Performance</w:t>
      </w:r>
    </w:p>
    <w:p>
      <w:pPr>
        <w:spacing w:before="0" w:after="120" w:line="360" w:lineRule="exact"/>
        <w:jc w:val="both"/>
      </w:pPr>
      <w:r>
        <w:rPr>
          <w:rFonts w:ascii="Times New Roman" w:hAnsi="Times New Roman"/>
          <w:b w:val="0"/>
          <w:color w:val="000000"/>
          <w:sz w:val="24"/>
        </w:rPr>
        <w:t>The comparative evaluation confirmed that Logistic Regression achieves marginally superior overall performance (ROC-AUC 0.8485, F1 0.700) compared to Random Forest (0.8431, 0.698) and Gradient Boosting (0.8319, 0.663). The finding that a linear model outperforms ensemble methods is analytically meaningful: it implies that interaction effects between KYC variables and demographic factors, while present, are not the dominant drivers of exclusion. The relationship is well-captured by additive log-odds contributions, which has direct implications for the design of regulatory scoring tools — simpler, transparent, auditable models are preferred for policy applications where accountability and interpretability are paramount.</w:t>
      </w:r>
    </w:p>
    <w:p>
      <w:pPr>
        <w:spacing w:before="240" w:after="120" w:line="360" w:lineRule="exact"/>
        <w:jc w:val="left"/>
      </w:pPr>
      <w:r>
        <w:rPr>
          <w:rFonts w:ascii="Times New Roman" w:hAnsi="Times New Roman"/>
          <w:b/>
          <w:color w:val="000000"/>
          <w:sz w:val="24"/>
        </w:rPr>
        <w:t>5.2.5 Objective 5: Identifying Most Affected Demographic Groups</w:t>
      </w:r>
    </w:p>
    <w:p>
      <w:pPr>
        <w:spacing w:before="0" w:after="120" w:line="360" w:lineRule="exact"/>
        <w:jc w:val="both"/>
      </w:pPr>
      <w:r>
        <w:rPr>
          <w:rFonts w:ascii="Times New Roman" w:hAnsi="Times New Roman"/>
          <w:b w:val="0"/>
          <w:color w:val="000000"/>
          <w:sz w:val="24"/>
        </w:rPr>
        <w:t>The FERI demographic summary clearly identified five groups bearing the most severe KYC-driven exclusion burden: adults in the lowest income quintile (65.6% excluded, mean FERI 50.1), adults with no formal education (59.6%, FERI 46.6), rural residents (61.0%, FERI 46.5), unemployed adults (46.6%, FERI 41.8), and informally employed workers (42.7%, FERI 35.9). The intersection of multiple disadvantaged categories produces compounding effects: rural unemployed women face exclusion rates approaching 73%, compared to 12% for urban formally employed men — a gap of 61 percentage points driven almost entirely by differential KYC document possession and institutional access.</w:t>
      </w:r>
    </w:p>
    <w:p>
      <w:pPr>
        <w:jc w:val="left"/>
      </w:pPr>
      <w:r>
        <w:rPr>
          <w:rFonts w:ascii="Times New Roman" w:hAnsi="Times New Roman"/>
          <w:b/>
          <w:color w:val="000000"/>
          <w:sz w:val="20"/>
        </w:rPr>
        <w:t>Table 5.1: Top demographic groups by financial exclusion risk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color w:val="000000"/>
                <w:sz w:val="20"/>
              </w:rPr>
              <w:t>Demographic Group</w:t>
            </w:r>
          </w:p>
        </w:tc>
        <w:tc>
          <w:tcPr>
            <w:tcW w:type="dxa" w:w="1872"/>
          </w:tcPr>
          <w:p>
            <w:pPr>
              <w:jc w:val="center"/>
            </w:pPr>
            <w:r>
              <w:rPr>
                <w:rFonts w:ascii="Times New Roman" w:hAnsi="Times New Roman"/>
                <w:b/>
                <w:color w:val="000000"/>
                <w:sz w:val="20"/>
              </w:rPr>
              <w:t>N</w:t>
            </w:r>
          </w:p>
        </w:tc>
        <w:tc>
          <w:tcPr>
            <w:tcW w:type="dxa" w:w="1872"/>
          </w:tcPr>
          <w:p>
            <w:pPr>
              <w:jc w:val="center"/>
            </w:pPr>
            <w:r>
              <w:rPr>
                <w:rFonts w:ascii="Times New Roman" w:hAnsi="Times New Roman"/>
                <w:b/>
                <w:color w:val="000000"/>
                <w:sz w:val="20"/>
              </w:rPr>
              <w:t>Exclusion Rate (%)</w:t>
            </w:r>
          </w:p>
        </w:tc>
        <w:tc>
          <w:tcPr>
            <w:tcW w:type="dxa" w:w="1872"/>
          </w:tcPr>
          <w:p>
            <w:pPr>
              <w:jc w:val="center"/>
            </w:pPr>
            <w:r>
              <w:rPr>
                <w:rFonts w:ascii="Times New Roman" w:hAnsi="Times New Roman"/>
                <w:b/>
                <w:color w:val="000000"/>
                <w:sz w:val="20"/>
              </w:rPr>
              <w:t>Mean FERI</w:t>
            </w:r>
          </w:p>
        </w:tc>
        <w:tc>
          <w:tcPr>
            <w:tcW w:type="dxa" w:w="1872"/>
          </w:tcPr>
          <w:p>
            <w:pPr>
              <w:jc w:val="center"/>
            </w:pPr>
            <w:r>
              <w:rPr>
                <w:rFonts w:ascii="Times New Roman" w:hAnsi="Times New Roman"/>
                <w:b/>
                <w:color w:val="000000"/>
                <w:sz w:val="20"/>
              </w:rPr>
              <w:t>Primary Driver</w:t>
            </w:r>
          </w:p>
        </w:tc>
      </w:tr>
      <w:tr>
        <w:tc>
          <w:tcPr>
            <w:tcW w:type="dxa" w:w="1872"/>
          </w:tcPr>
          <w:p>
            <w:pPr>
              <w:jc w:val="center"/>
            </w:pPr>
            <w:r>
              <w:rPr>
                <w:rFonts w:ascii="Times New Roman" w:hAnsi="Times New Roman"/>
                <w:b w:val="0"/>
                <w:color w:val="000000"/>
                <w:sz w:val="20"/>
              </w:rPr>
              <w:t>Income Q1 (Lowest)</w:t>
            </w:r>
          </w:p>
        </w:tc>
        <w:tc>
          <w:tcPr>
            <w:tcW w:type="dxa" w:w="1872"/>
          </w:tcPr>
          <w:p>
            <w:pPr>
              <w:jc w:val="center"/>
            </w:pPr>
            <w:r>
              <w:rPr>
                <w:rFonts w:ascii="Times New Roman" w:hAnsi="Times New Roman"/>
                <w:b w:val="0"/>
                <w:color w:val="000000"/>
                <w:sz w:val="20"/>
              </w:rPr>
              <w:t>1,000</w:t>
            </w:r>
          </w:p>
        </w:tc>
        <w:tc>
          <w:tcPr>
            <w:tcW w:type="dxa" w:w="1872"/>
          </w:tcPr>
          <w:p>
            <w:pPr>
              <w:jc w:val="center"/>
            </w:pPr>
            <w:r>
              <w:rPr>
                <w:rFonts w:ascii="Times New Roman" w:hAnsi="Times New Roman"/>
                <w:b w:val="0"/>
                <w:color w:val="000000"/>
                <w:sz w:val="20"/>
              </w:rPr>
              <w:t>65.6</w:t>
            </w:r>
          </w:p>
        </w:tc>
        <w:tc>
          <w:tcPr>
            <w:tcW w:type="dxa" w:w="1872"/>
          </w:tcPr>
          <w:p>
            <w:pPr>
              <w:jc w:val="center"/>
            </w:pPr>
            <w:r>
              <w:rPr>
                <w:rFonts w:ascii="Times New Roman" w:hAnsi="Times New Roman"/>
                <w:b w:val="0"/>
                <w:color w:val="000000"/>
                <w:sz w:val="20"/>
              </w:rPr>
              <w:t>50.1</w:t>
            </w:r>
          </w:p>
        </w:tc>
        <w:tc>
          <w:tcPr>
            <w:tcW w:type="dxa" w:w="1872"/>
          </w:tcPr>
          <w:p>
            <w:pPr>
              <w:jc w:val="center"/>
            </w:pPr>
            <w:r>
              <w:rPr>
                <w:rFonts w:ascii="Times New Roman" w:hAnsi="Times New Roman"/>
                <w:b w:val="0"/>
                <w:color w:val="000000"/>
                <w:sz w:val="20"/>
              </w:rPr>
              <w:t>Documentation + income poverty</w:t>
            </w:r>
          </w:p>
        </w:tc>
      </w:tr>
      <w:tr>
        <w:tc>
          <w:tcPr>
            <w:tcW w:type="dxa" w:w="1872"/>
          </w:tcPr>
          <w:p>
            <w:pPr>
              <w:jc w:val="center"/>
            </w:pPr>
            <w:r>
              <w:rPr>
                <w:rFonts w:ascii="Times New Roman" w:hAnsi="Times New Roman"/>
                <w:b w:val="0"/>
                <w:color w:val="000000"/>
                <w:sz w:val="20"/>
              </w:rPr>
              <w:t>No Formal Education</w:t>
            </w:r>
          </w:p>
        </w:tc>
        <w:tc>
          <w:tcPr>
            <w:tcW w:type="dxa" w:w="1872"/>
          </w:tcPr>
          <w:p>
            <w:pPr>
              <w:jc w:val="center"/>
            </w:pPr>
            <w:r>
              <w:rPr>
                <w:rFonts w:ascii="Times New Roman" w:hAnsi="Times New Roman"/>
                <w:b w:val="0"/>
                <w:color w:val="000000"/>
                <w:sz w:val="20"/>
              </w:rPr>
              <w:t>374</w:t>
            </w:r>
          </w:p>
        </w:tc>
        <w:tc>
          <w:tcPr>
            <w:tcW w:type="dxa" w:w="1872"/>
          </w:tcPr>
          <w:p>
            <w:pPr>
              <w:jc w:val="center"/>
            </w:pPr>
            <w:r>
              <w:rPr>
                <w:rFonts w:ascii="Times New Roman" w:hAnsi="Times New Roman"/>
                <w:b w:val="0"/>
                <w:color w:val="000000"/>
                <w:sz w:val="20"/>
              </w:rPr>
              <w:t>59.6</w:t>
            </w:r>
          </w:p>
        </w:tc>
        <w:tc>
          <w:tcPr>
            <w:tcW w:type="dxa" w:w="1872"/>
          </w:tcPr>
          <w:p>
            <w:pPr>
              <w:jc w:val="center"/>
            </w:pPr>
            <w:r>
              <w:rPr>
                <w:rFonts w:ascii="Times New Roman" w:hAnsi="Times New Roman"/>
                <w:b w:val="0"/>
                <w:color w:val="000000"/>
                <w:sz w:val="20"/>
              </w:rPr>
              <w:t>46.6</w:t>
            </w:r>
          </w:p>
        </w:tc>
        <w:tc>
          <w:tcPr>
            <w:tcW w:type="dxa" w:w="1872"/>
          </w:tcPr>
          <w:p>
            <w:pPr>
              <w:jc w:val="center"/>
            </w:pPr>
            <w:r>
              <w:rPr>
                <w:rFonts w:ascii="Times New Roman" w:hAnsi="Times New Roman"/>
                <w:b w:val="0"/>
                <w:color w:val="000000"/>
                <w:sz w:val="20"/>
              </w:rPr>
              <w:t>Documentation unawareness + poverty</w:t>
            </w:r>
          </w:p>
        </w:tc>
      </w:tr>
      <w:tr>
        <w:tc>
          <w:tcPr>
            <w:tcW w:type="dxa" w:w="1872"/>
          </w:tcPr>
          <w:p>
            <w:pPr>
              <w:jc w:val="center"/>
            </w:pPr>
            <w:r>
              <w:rPr>
                <w:rFonts w:ascii="Times New Roman" w:hAnsi="Times New Roman"/>
                <w:b w:val="0"/>
                <w:color w:val="000000"/>
                <w:sz w:val="20"/>
              </w:rPr>
              <w:t>Rural Residents</w:t>
            </w:r>
          </w:p>
        </w:tc>
        <w:tc>
          <w:tcPr>
            <w:tcW w:type="dxa" w:w="1872"/>
          </w:tcPr>
          <w:p>
            <w:pPr>
              <w:jc w:val="center"/>
            </w:pPr>
            <w:r>
              <w:rPr>
                <w:rFonts w:ascii="Times New Roman" w:hAnsi="Times New Roman"/>
                <w:b w:val="0"/>
                <w:color w:val="000000"/>
                <w:sz w:val="20"/>
              </w:rPr>
              <w:t>2,206</w:t>
            </w:r>
          </w:p>
        </w:tc>
        <w:tc>
          <w:tcPr>
            <w:tcW w:type="dxa" w:w="1872"/>
          </w:tcPr>
          <w:p>
            <w:pPr>
              <w:jc w:val="center"/>
            </w:pPr>
            <w:r>
              <w:rPr>
                <w:rFonts w:ascii="Times New Roman" w:hAnsi="Times New Roman"/>
                <w:b w:val="0"/>
                <w:color w:val="000000"/>
                <w:sz w:val="20"/>
              </w:rPr>
              <w:t>61.0</w:t>
            </w:r>
          </w:p>
        </w:tc>
        <w:tc>
          <w:tcPr>
            <w:tcW w:type="dxa" w:w="1872"/>
          </w:tcPr>
          <w:p>
            <w:pPr>
              <w:jc w:val="center"/>
            </w:pPr>
            <w:r>
              <w:rPr>
                <w:rFonts w:ascii="Times New Roman" w:hAnsi="Times New Roman"/>
                <w:b w:val="0"/>
                <w:color w:val="000000"/>
                <w:sz w:val="20"/>
              </w:rPr>
              <w:t>46.5</w:t>
            </w:r>
          </w:p>
        </w:tc>
        <w:tc>
          <w:tcPr>
            <w:tcW w:type="dxa" w:w="1872"/>
          </w:tcPr>
          <w:p>
            <w:pPr>
              <w:jc w:val="center"/>
            </w:pPr>
            <w:r>
              <w:rPr>
                <w:rFonts w:ascii="Times New Roman" w:hAnsi="Times New Roman"/>
                <w:b w:val="0"/>
                <w:color w:val="000000"/>
                <w:sz w:val="20"/>
              </w:rPr>
              <w:t>Address proof + branch distance</w:t>
            </w:r>
          </w:p>
        </w:tc>
      </w:tr>
      <w:tr>
        <w:tc>
          <w:tcPr>
            <w:tcW w:type="dxa" w:w="1872"/>
          </w:tcPr>
          <w:p>
            <w:pPr>
              <w:jc w:val="center"/>
            </w:pPr>
            <w:r>
              <w:rPr>
                <w:rFonts w:ascii="Times New Roman" w:hAnsi="Times New Roman"/>
                <w:b w:val="0"/>
                <w:color w:val="000000"/>
                <w:sz w:val="20"/>
              </w:rPr>
              <w:t>Unemployed</w:t>
            </w:r>
          </w:p>
        </w:tc>
        <w:tc>
          <w:tcPr>
            <w:tcW w:type="dxa" w:w="1872"/>
          </w:tcPr>
          <w:p>
            <w:pPr>
              <w:jc w:val="center"/>
            </w:pPr>
            <w:r>
              <w:rPr>
                <w:rFonts w:ascii="Times New Roman" w:hAnsi="Times New Roman"/>
                <w:b w:val="0"/>
                <w:color w:val="000000"/>
                <w:sz w:val="20"/>
              </w:rPr>
              <w:t>1,017</w:t>
            </w:r>
          </w:p>
        </w:tc>
        <w:tc>
          <w:tcPr>
            <w:tcW w:type="dxa" w:w="1872"/>
          </w:tcPr>
          <w:p>
            <w:pPr>
              <w:jc w:val="center"/>
            </w:pPr>
            <w:r>
              <w:rPr>
                <w:rFonts w:ascii="Times New Roman" w:hAnsi="Times New Roman"/>
                <w:b w:val="0"/>
                <w:color w:val="000000"/>
                <w:sz w:val="20"/>
              </w:rPr>
              <w:t>46.6</w:t>
            </w:r>
          </w:p>
        </w:tc>
        <w:tc>
          <w:tcPr>
            <w:tcW w:type="dxa" w:w="1872"/>
          </w:tcPr>
          <w:p>
            <w:pPr>
              <w:jc w:val="center"/>
            </w:pPr>
            <w:r>
              <w:rPr>
                <w:rFonts w:ascii="Times New Roman" w:hAnsi="Times New Roman"/>
                <w:b w:val="0"/>
                <w:color w:val="000000"/>
                <w:sz w:val="20"/>
              </w:rPr>
              <w:t>41.8</w:t>
            </w:r>
          </w:p>
        </w:tc>
        <w:tc>
          <w:tcPr>
            <w:tcW w:type="dxa" w:w="1872"/>
          </w:tcPr>
          <w:p>
            <w:pPr>
              <w:jc w:val="center"/>
            </w:pPr>
            <w:r>
              <w:rPr>
                <w:rFonts w:ascii="Times New Roman" w:hAnsi="Times New Roman"/>
                <w:b w:val="0"/>
                <w:color w:val="000000"/>
                <w:sz w:val="20"/>
              </w:rPr>
              <w:t>Employment proof + documentation</w:t>
            </w:r>
          </w:p>
        </w:tc>
      </w:tr>
      <w:tr>
        <w:tc>
          <w:tcPr>
            <w:tcW w:type="dxa" w:w="1872"/>
          </w:tcPr>
          <w:p>
            <w:pPr>
              <w:jc w:val="center"/>
            </w:pPr>
            <w:r>
              <w:rPr>
                <w:rFonts w:ascii="Times New Roman" w:hAnsi="Times New Roman"/>
                <w:b w:val="0"/>
                <w:color w:val="000000"/>
                <w:sz w:val="20"/>
              </w:rPr>
              <w:t>Informal Employment</w:t>
            </w:r>
          </w:p>
        </w:tc>
        <w:tc>
          <w:tcPr>
            <w:tcW w:type="dxa" w:w="1872"/>
          </w:tcPr>
          <w:p>
            <w:pPr>
              <w:jc w:val="center"/>
            </w:pPr>
            <w:r>
              <w:rPr>
                <w:rFonts w:ascii="Times New Roman" w:hAnsi="Times New Roman"/>
                <w:b w:val="0"/>
                <w:color w:val="000000"/>
                <w:sz w:val="20"/>
              </w:rPr>
              <w:t>2,698</w:t>
            </w:r>
          </w:p>
        </w:tc>
        <w:tc>
          <w:tcPr>
            <w:tcW w:type="dxa" w:w="1872"/>
          </w:tcPr>
          <w:p>
            <w:pPr>
              <w:jc w:val="center"/>
            </w:pPr>
            <w:r>
              <w:rPr>
                <w:rFonts w:ascii="Times New Roman" w:hAnsi="Times New Roman"/>
                <w:b w:val="0"/>
                <w:color w:val="000000"/>
                <w:sz w:val="20"/>
              </w:rPr>
              <w:t>42.7</w:t>
            </w:r>
          </w:p>
        </w:tc>
        <w:tc>
          <w:tcPr>
            <w:tcW w:type="dxa" w:w="1872"/>
          </w:tcPr>
          <w:p>
            <w:pPr>
              <w:jc w:val="center"/>
            </w:pPr>
            <w:r>
              <w:rPr>
                <w:rFonts w:ascii="Times New Roman" w:hAnsi="Times New Roman"/>
                <w:b w:val="0"/>
                <w:color w:val="000000"/>
                <w:sz w:val="20"/>
              </w:rPr>
              <w:t>35.9</w:t>
            </w:r>
          </w:p>
        </w:tc>
        <w:tc>
          <w:tcPr>
            <w:tcW w:type="dxa" w:w="1872"/>
          </w:tcPr>
          <w:p>
            <w:pPr>
              <w:jc w:val="center"/>
            </w:pPr>
            <w:r>
              <w:rPr>
                <w:rFonts w:ascii="Times New Roman" w:hAnsi="Times New Roman"/>
                <w:b w:val="0"/>
                <w:color w:val="000000"/>
                <w:sz w:val="20"/>
              </w:rPr>
              <w:t>Employment proof + low income</w:t>
            </w:r>
          </w:p>
        </w:tc>
      </w:tr>
      <w:tr>
        <w:tc>
          <w:tcPr>
            <w:tcW w:type="dxa" w:w="1872"/>
          </w:tcPr>
          <w:p>
            <w:pPr>
              <w:jc w:val="center"/>
            </w:pPr>
            <w:r>
              <w:rPr>
                <w:rFonts w:ascii="Times New Roman" w:hAnsi="Times New Roman"/>
                <w:b w:val="0"/>
                <w:color w:val="000000"/>
                <w:sz w:val="20"/>
              </w:rPr>
              <w:t>Female</w:t>
            </w:r>
          </w:p>
        </w:tc>
        <w:tc>
          <w:tcPr>
            <w:tcW w:type="dxa" w:w="1872"/>
          </w:tcPr>
          <w:p>
            <w:pPr>
              <w:jc w:val="center"/>
            </w:pPr>
            <w:r>
              <w:rPr>
                <w:rFonts w:ascii="Times New Roman" w:hAnsi="Times New Roman"/>
                <w:b w:val="0"/>
                <w:color w:val="000000"/>
                <w:sz w:val="20"/>
              </w:rPr>
              <w:t>2,570</w:t>
            </w:r>
          </w:p>
        </w:tc>
        <w:tc>
          <w:tcPr>
            <w:tcW w:type="dxa" w:w="1872"/>
          </w:tcPr>
          <w:p>
            <w:pPr>
              <w:jc w:val="center"/>
            </w:pPr>
            <w:r>
              <w:rPr>
                <w:rFonts w:ascii="Times New Roman" w:hAnsi="Times New Roman"/>
                <w:b w:val="0"/>
                <w:color w:val="000000"/>
                <w:sz w:val="20"/>
              </w:rPr>
              <w:t>38.9</w:t>
            </w:r>
          </w:p>
        </w:tc>
        <w:tc>
          <w:tcPr>
            <w:tcW w:type="dxa" w:w="1872"/>
          </w:tcPr>
          <w:p>
            <w:pPr>
              <w:jc w:val="center"/>
            </w:pPr>
            <w:r>
              <w:rPr>
                <w:rFonts w:ascii="Times New Roman" w:hAnsi="Times New Roman"/>
                <w:b w:val="0"/>
                <w:color w:val="000000"/>
                <w:sz w:val="20"/>
              </w:rPr>
              <w:t>33.1</w:t>
            </w:r>
          </w:p>
        </w:tc>
        <w:tc>
          <w:tcPr>
            <w:tcW w:type="dxa" w:w="1872"/>
          </w:tcPr>
          <w:p>
            <w:pPr>
              <w:jc w:val="center"/>
            </w:pPr>
            <w:r>
              <w:rPr>
                <w:rFonts w:ascii="Times New Roman" w:hAnsi="Times New Roman"/>
                <w:b w:val="0"/>
                <w:color w:val="000000"/>
                <w:sz w:val="20"/>
              </w:rPr>
              <w:t>Address proof gender gap</w:t>
            </w:r>
          </w:p>
        </w:tc>
      </w:tr>
      <w:tr>
        <w:tc>
          <w:tcPr>
            <w:tcW w:type="dxa" w:w="1872"/>
          </w:tcPr>
          <w:p>
            <w:pPr>
              <w:jc w:val="center"/>
            </w:pPr>
            <w:r>
              <w:rPr>
                <w:rFonts w:ascii="Times New Roman" w:hAnsi="Times New Roman"/>
                <w:b w:val="0"/>
                <w:color w:val="000000"/>
                <w:sz w:val="20"/>
              </w:rPr>
              <w:t>Age 18–25</w:t>
            </w:r>
          </w:p>
        </w:tc>
        <w:tc>
          <w:tcPr>
            <w:tcW w:type="dxa" w:w="1872"/>
          </w:tcPr>
          <w:p>
            <w:pPr>
              <w:jc w:val="center"/>
            </w:pPr>
            <w:r>
              <w:rPr>
                <w:rFonts w:ascii="Times New Roman" w:hAnsi="Times New Roman"/>
                <w:b w:val="0"/>
                <w:color w:val="000000"/>
                <w:sz w:val="20"/>
              </w:rPr>
              <w:t>972</w:t>
            </w:r>
          </w:p>
        </w:tc>
        <w:tc>
          <w:tcPr>
            <w:tcW w:type="dxa" w:w="1872"/>
          </w:tcPr>
          <w:p>
            <w:pPr>
              <w:jc w:val="center"/>
            </w:pPr>
            <w:r>
              <w:rPr>
                <w:rFonts w:ascii="Times New Roman" w:hAnsi="Times New Roman"/>
                <w:b w:val="0"/>
                <w:color w:val="000000"/>
                <w:sz w:val="20"/>
              </w:rPr>
              <w:t>36.6</w:t>
            </w:r>
          </w:p>
        </w:tc>
        <w:tc>
          <w:tcPr>
            <w:tcW w:type="dxa" w:w="1872"/>
          </w:tcPr>
          <w:p>
            <w:pPr>
              <w:jc w:val="center"/>
            </w:pPr>
            <w:r>
              <w:rPr>
                <w:rFonts w:ascii="Times New Roman" w:hAnsi="Times New Roman"/>
                <w:b w:val="0"/>
                <w:color w:val="000000"/>
                <w:sz w:val="20"/>
              </w:rPr>
              <w:t>33.7</w:t>
            </w:r>
          </w:p>
        </w:tc>
        <w:tc>
          <w:tcPr>
            <w:tcW w:type="dxa" w:w="1872"/>
          </w:tcPr>
          <w:p>
            <w:pPr>
              <w:jc w:val="center"/>
            </w:pPr>
            <w:r>
              <w:rPr>
                <w:rFonts w:ascii="Times New Roman" w:hAnsi="Times New Roman"/>
                <w:b w:val="0"/>
                <w:color w:val="000000"/>
                <w:sz w:val="20"/>
              </w:rPr>
              <w:t>National ID + no employment proof</w:t>
            </w:r>
          </w:p>
        </w:tc>
      </w:tr>
    </w:tbl>
    <w:p/>
    <w:p>
      <w:pPr>
        <w:spacing w:before="240" w:after="120" w:line="420" w:lineRule="exact"/>
        <w:jc w:val="left"/>
      </w:pPr>
      <w:r>
        <w:rPr>
          <w:rFonts w:ascii="Times New Roman" w:hAnsi="Times New Roman"/>
          <w:b/>
          <w:color w:val="000000"/>
          <w:sz w:val="28"/>
        </w:rPr>
        <w:t>5.3 Conclusions</w:t>
      </w:r>
    </w:p>
    <w:p>
      <w:pPr>
        <w:spacing w:before="0" w:after="120" w:line="360" w:lineRule="exact"/>
        <w:jc w:val="both"/>
      </w:pPr>
      <w:r>
        <w:rPr>
          <w:rFonts w:ascii="Times New Roman" w:hAnsi="Times New Roman"/>
          <w:b w:val="0"/>
          <w:color w:val="000000"/>
          <w:sz w:val="24"/>
        </w:rPr>
        <w:t>This study has produced three overarching conclusions that advance understanding of KYC-driven financial exclusion in Zimbabwe and contribute to the broader empirical literature on AML/CFT compliance and financial inclusion.</w:t>
      </w:r>
    </w:p>
    <w:p>
      <w:pPr>
        <w:spacing w:before="240" w:after="120" w:line="360" w:lineRule="exact"/>
        <w:jc w:val="left"/>
      </w:pPr>
      <w:r>
        <w:rPr>
          <w:rFonts w:ascii="Times New Roman" w:hAnsi="Times New Roman"/>
          <w:b/>
          <w:color w:val="000000"/>
          <w:sz w:val="24"/>
        </w:rPr>
        <w:t>Conclusion 1: KYC documentation gaps are the primary proximate cause of financial exclusion</w:t>
      </w:r>
    </w:p>
    <w:p>
      <w:pPr>
        <w:spacing w:before="0" w:after="120" w:line="360" w:lineRule="exact"/>
        <w:jc w:val="both"/>
      </w:pPr>
      <w:r>
        <w:rPr>
          <w:rFonts w:ascii="Times New Roman" w:hAnsi="Times New Roman"/>
          <w:b w:val="0"/>
          <w:color w:val="000000"/>
          <w:sz w:val="24"/>
        </w:rPr>
        <w:t>Across three modelling approaches, the absence of a national identity document and the absence of proof of residential address are consistently the two strongest predictors of financial exclusion — stronger than income, location, age, or employment status in isolation. This finding directly implicates the design of Zimbabwe's AML/KYC framework, specifically the mandatory proof-of-address requirement for account opening, as a policy choice that systematically excludes the rural poor. The implication is clear: modifying documentation requirements is the highest-leverage intervention available to policymakers seeking to expand financial inclusion in Zimbabwe.</w:t>
      </w:r>
    </w:p>
    <w:p>
      <w:pPr>
        <w:spacing w:before="240" w:after="120" w:line="360" w:lineRule="exact"/>
        <w:jc w:val="left"/>
      </w:pPr>
      <w:r>
        <w:rPr>
          <w:rFonts w:ascii="Times New Roman" w:hAnsi="Times New Roman"/>
          <w:b/>
          <w:color w:val="000000"/>
          <w:sz w:val="24"/>
        </w:rPr>
        <w:t>Conclusion 2: Financial exclusion is structurally concentrated and compound</w:t>
      </w:r>
    </w:p>
    <w:p>
      <w:pPr>
        <w:spacing w:before="0" w:after="120" w:line="360" w:lineRule="exact"/>
        <w:jc w:val="both"/>
      </w:pPr>
      <w:r>
        <w:rPr>
          <w:rFonts w:ascii="Times New Roman" w:hAnsi="Times New Roman"/>
          <w:b w:val="0"/>
          <w:color w:val="000000"/>
          <w:sz w:val="24"/>
        </w:rPr>
        <w:t>The 61 percentage-point gap in exclusion rates between the most and least advantaged demographic sub-groups is not explained by any single variable. It reflects the systematic co-occurrence of documentation deficits, rural location, informal employment, and low income in the same population segments. The FERI index captures this compound disadvantage in a single composite score, enabling regulators and financial institutions to identify and prioritise the most severely excluded segments — the 4.5% in the Critical Risk band — for targeted intervention, rather than applying uniform policy across a heterogeneous population.</w:t>
      </w:r>
    </w:p>
    <w:p>
      <w:pPr>
        <w:spacing w:before="240" w:after="120" w:line="360" w:lineRule="exact"/>
        <w:jc w:val="left"/>
      </w:pPr>
      <w:r>
        <w:rPr>
          <w:rFonts w:ascii="Times New Roman" w:hAnsi="Times New Roman"/>
          <w:b/>
          <w:color w:val="000000"/>
          <w:sz w:val="24"/>
        </w:rPr>
        <w:t>Conclusion 3: A tiered KYC approach is both technically justified and empirically necessary</w:t>
      </w:r>
    </w:p>
    <w:p>
      <w:pPr>
        <w:spacing w:before="0" w:after="120" w:line="360" w:lineRule="exact"/>
        <w:jc w:val="both"/>
      </w:pPr>
      <w:r>
        <w:rPr>
          <w:rFonts w:ascii="Times New Roman" w:hAnsi="Times New Roman"/>
          <w:b w:val="0"/>
          <w:color w:val="000000"/>
          <w:sz w:val="24"/>
        </w:rPr>
        <w:t>The finding that 68% of excluded individuals would qualify for a Tier 1 simplified due diligence regime — requiring only a single government-issued identity document without proof of address — demonstrates that the current binary all-or-nothing compliance framework is unnecessarily exclusionary. FATF Recommendation 10 explicitly permits simplified customer due diligence for low-risk products, and the empirical evidence presented in this study provides the quantitative foundation for the RBZ to implement such a framework in Zimbabwe. The adoption of tiered KYC would not require a reduction in compliance standards for high-risk products; it would extend financial access to the majority of excluded individuals through proportionate risk calibration.</w:t>
      </w:r>
    </w:p>
    <w:p>
      <w:pPr>
        <w:spacing w:before="0" w:after="120" w:line="360" w:lineRule="exact"/>
        <w:jc w:val="both"/>
      </w:pPr>
      <w:r>
        <w:rPr>
          <w:rFonts w:ascii="Times New Roman" w:hAnsi="Times New Roman"/>
          <w:b w:val="0"/>
          <w:color w:val="000000"/>
          <w:sz w:val="24"/>
        </w:rPr>
        <w:t>These conclusions are consistent with the international literature reviewed in Chapter 2. The finding that stricter documentation requirements produce disproportionate exclusion among rural, low-income populations replicates results from Latin American (Ambrosius and Cuadros-Meñaca, 2022), Sub-Saharan African (Demirguc-Kunt et al., 2022), and Asian (FATF, 2020) contexts, suggesting that the Zimbabwean case is an instance of a structurally general pattern rather than a country-specific anomaly. The evidence generated by this study provides the first quantitative, model-based analysis of this pattern specifically calibrated to Zimbabwe's regulatory and demographic context.</w:t>
      </w:r>
    </w:p>
    <w:p>
      <w:pPr>
        <w:spacing w:before="240" w:after="120" w:line="420" w:lineRule="exact"/>
        <w:jc w:val="left"/>
      </w:pPr>
      <w:r>
        <w:rPr>
          <w:rFonts w:ascii="Times New Roman" w:hAnsi="Times New Roman"/>
          <w:b/>
          <w:color w:val="000000"/>
          <w:sz w:val="28"/>
        </w:rPr>
        <w:t>5.4 Evidence-Based Policy Recommendations</w:t>
      </w:r>
    </w:p>
    <w:p>
      <w:pPr>
        <w:spacing w:before="0" w:after="120" w:line="360" w:lineRule="exact"/>
        <w:jc w:val="both"/>
      </w:pPr>
      <w:r>
        <w:rPr>
          <w:rFonts w:ascii="Times New Roman" w:hAnsi="Times New Roman"/>
          <w:b w:val="0"/>
          <w:color w:val="000000"/>
          <w:sz w:val="24"/>
        </w:rPr>
        <w:t>The following six recommendations are derived directly from the quantitative findings of this study. Each recommendation is anchored to a specific empirical finding, identifies the responsible implementing institution, and is grounded in the international regulatory framework applicable to Zimbabwe. The recommendations are presented in order of estimated policy impact, based on the size of the affected population and the magnitude of the expected exclusion reduction.</w:t>
      </w:r>
    </w:p>
    <w:p>
      <w:pPr>
        <w:spacing w:before="240" w:after="120" w:line="360" w:lineRule="exact"/>
        <w:jc w:val="left"/>
      </w:pPr>
      <w:r>
        <w:rPr>
          <w:rFonts w:ascii="Times New Roman" w:hAnsi="Times New Roman"/>
          <w:b/>
          <w:color w:val="000000"/>
          <w:sz w:val="24"/>
        </w:rPr>
        <w:t>Recommendation 1: Implement a Three-Tier Risk-Proportionate KYC Framework</w:t>
      </w:r>
    </w:p>
    <w:p>
      <w:pPr>
        <w:spacing w:before="0" w:after="120" w:line="360" w:lineRule="exact"/>
        <w:jc w:val="both"/>
      </w:pPr>
      <w:r>
        <w:rPr>
          <w:rFonts w:ascii="Times New Roman" w:hAnsi="Times New Roman"/>
          <w:b w:val="0"/>
          <w:color w:val="000000"/>
          <w:sz w:val="24"/>
        </w:rPr>
        <w:t>Responsible institution: Reserve Bank of Zimbabwe (RBZ), in consultation with the Financial Intelligence Unit (FIU).</w:t>
      </w:r>
    </w:p>
    <w:p>
      <w:pPr>
        <w:spacing w:before="0" w:after="120" w:line="360" w:lineRule="exact"/>
        <w:jc w:val="both"/>
      </w:pPr>
      <w:r>
        <w:rPr>
          <w:rFonts w:ascii="Times New Roman" w:hAnsi="Times New Roman"/>
          <w:b w:val="0"/>
          <w:color w:val="000000"/>
          <w:sz w:val="24"/>
        </w:rPr>
        <w:t>This study finds that proof-of-address absence affects approximately 51% of the dataset and is the second strongest predictor of financial exclusion. The current uniform KYC requirement applies the same documentation standards to a mobile money transaction of USD 10 and a foreign exchange transaction of USD 10,000 — an approach inconsistent with FATF Recommendation 10, which explicitly permits simplified due diligence (SDD) for products carrying a demonstrably low money-laundering risk (FATF, 2023). The RBZ should issue a directive establishing the following tiered framework: Tier 1 (Basic Access) for mobile money and low-value accounts (maximum monthly transaction USD 500 and balance USD 200) — requiring only a single government-issued identity document from the approved list (national ID card, voter registration card, birth certificate, or valid passport), with no proof-of-address requirement; Tier 2 (Standard Access) for savings, transactional, and micro-credit accounts — requiring national ID plus one corroborating document from an expanded list that includes village head letters, ward councillor attestations, employer letters, and utility certificates; Tier 3 (Full CDD) for large-value, business, and foreign exchange accounts — applying the existing full customer due diligence requirements. FERI modelling suggests this reform would reduce the exclusion rate among rural informal workers from approximately 61% to below 30%, representing over 800,000 newly included adults scaled to the Zimbabwean population.</w:t>
      </w:r>
    </w:p>
    <w:p>
      <w:pPr>
        <w:spacing w:before="240" w:after="120" w:line="360" w:lineRule="exact"/>
        <w:jc w:val="left"/>
      </w:pPr>
      <w:r>
        <w:rPr>
          <w:rFonts w:ascii="Times New Roman" w:hAnsi="Times New Roman"/>
          <w:b/>
          <w:color w:val="000000"/>
          <w:sz w:val="24"/>
        </w:rPr>
        <w:t>Recommendation 2: Establish a National Digital Identity Infrastructure</w:t>
      </w:r>
    </w:p>
    <w:p>
      <w:pPr>
        <w:spacing w:before="0" w:after="120" w:line="360" w:lineRule="exact"/>
        <w:jc w:val="both"/>
      </w:pPr>
      <w:r>
        <w:rPr>
          <w:rFonts w:ascii="Times New Roman" w:hAnsi="Times New Roman"/>
          <w:b w:val="0"/>
          <w:color w:val="000000"/>
          <w:sz w:val="24"/>
        </w:rPr>
        <w:t>Responsible institution: Ministry of Public Service, Labour and Social Welfare; Registrar General's Office; RBZ.</w:t>
      </w:r>
    </w:p>
    <w:p>
      <w:pPr>
        <w:spacing w:before="0" w:after="120" w:line="360" w:lineRule="exact"/>
        <w:jc w:val="both"/>
      </w:pPr>
      <w:r>
        <w:rPr>
          <w:rFonts w:ascii="Times New Roman" w:hAnsi="Times New Roman"/>
          <w:b w:val="0"/>
          <w:color w:val="000000"/>
          <w:sz w:val="24"/>
        </w:rPr>
        <w:t>The national identity document is the single highest-leverage KYC variable in this study (40 points in FERI KYC Gap Score; log-odds coefficient +1.8 in Logistic Regression). A national digital identity registry — interoperable across all regulated financial institutions and accessible via mobile phones — would eliminate the need for physical document presentation, reduce per-account compliance costs for financial institutions, and remove the principal documentation barrier for the 30% of Zimbabwean adults who currently lack a physical national identity card. The Government of Zimbabwe should prioritise the completion of the National Population Registration initiative and ensure its API integration with the financial sector under a shared KYC utility model, following the precedents established by India's Aadhaar system and Kenya's Huduma Namba.</w:t>
      </w:r>
    </w:p>
    <w:p>
      <w:pPr>
        <w:spacing w:before="240" w:after="120" w:line="360" w:lineRule="exact"/>
        <w:jc w:val="left"/>
      </w:pPr>
      <w:r>
        <w:rPr>
          <w:rFonts w:ascii="Times New Roman" w:hAnsi="Times New Roman"/>
          <w:b/>
          <w:color w:val="000000"/>
          <w:sz w:val="24"/>
        </w:rPr>
        <w:t>Recommendation 3: Formally Recognise Alternative Proof of Address</w:t>
      </w:r>
    </w:p>
    <w:p>
      <w:pPr>
        <w:spacing w:before="0" w:after="120" w:line="360" w:lineRule="exact"/>
        <w:jc w:val="both"/>
      </w:pPr>
      <w:r>
        <w:rPr>
          <w:rFonts w:ascii="Times New Roman" w:hAnsi="Times New Roman"/>
          <w:b w:val="0"/>
          <w:color w:val="000000"/>
          <w:sz w:val="24"/>
        </w:rPr>
        <w:t>Responsible institution: RBZ Supervision Division.</w:t>
      </w:r>
    </w:p>
    <w:p>
      <w:pPr>
        <w:spacing w:before="0" w:after="120" w:line="360" w:lineRule="exact"/>
        <w:jc w:val="both"/>
      </w:pPr>
      <w:r>
        <w:rPr>
          <w:rFonts w:ascii="Times New Roman" w:hAnsi="Times New Roman"/>
          <w:b w:val="0"/>
          <w:color w:val="000000"/>
          <w:sz w:val="24"/>
        </w:rPr>
        <w:t>This study finds that rural residents have a proof-of-address possession rate of approximately 22% versus 54% for urban residents, a gap that directly accounts for a substantial portion of the 44 percentage-point rural-urban exclusion differential. The RBZ should issue a binding supervisory circular amending the AML/CTF customer due diligence guidelines to formally accept the following as valid proof of address for Tier 2 onboarding: (a) a letter from a ward councillor or village head on official letterhead, witnessed by the local authority; (b) a sworn declaration from an employer, confirmed against the National Social Security Authority (NSSA) register; (c) GPS-confirmed residential address derived from mobile network operator location data, provided under a data-sharing agreement compliant with the Cyber and Data Protection Act; and (d) a registered mobile money account statement showing consistent transactional activity at a confirmed location for a minimum of six months. The circular should specify that institutions that accept any of these alternatives are in compliance with AML/CTF requirements and will not face regulatory sanction for account opening on this basis.</w:t>
      </w:r>
    </w:p>
    <w:p>
      <w:pPr>
        <w:spacing w:before="240" w:after="120" w:line="360" w:lineRule="exact"/>
        <w:jc w:val="left"/>
      </w:pPr>
      <w:r>
        <w:rPr>
          <w:rFonts w:ascii="Times New Roman" w:hAnsi="Times New Roman"/>
          <w:b/>
          <w:color w:val="000000"/>
          <w:sz w:val="24"/>
        </w:rPr>
        <w:t>Recommendation 4: Mandate Mobile-First Onboarding Channels</w:t>
      </w:r>
    </w:p>
    <w:p>
      <w:pPr>
        <w:spacing w:before="0" w:after="120" w:line="360" w:lineRule="exact"/>
        <w:jc w:val="both"/>
      </w:pPr>
      <w:r>
        <w:rPr>
          <w:rFonts w:ascii="Times New Roman" w:hAnsi="Times New Roman"/>
          <w:b w:val="0"/>
          <w:color w:val="000000"/>
          <w:sz w:val="24"/>
        </w:rPr>
        <w:t>Responsible institution: RBZ; Ministry of Information Communication Technology.</w:t>
      </w:r>
    </w:p>
    <w:p>
      <w:pPr>
        <w:spacing w:before="0" w:after="120" w:line="360" w:lineRule="exact"/>
        <w:jc w:val="both"/>
      </w:pPr>
      <w:r>
        <w:rPr>
          <w:rFonts w:ascii="Times New Roman" w:hAnsi="Times New Roman"/>
          <w:b w:val="0"/>
          <w:color w:val="000000"/>
          <w:sz w:val="24"/>
        </w:rPr>
        <w:t>Mobile phone ownership (78% of the dataset) reduces FERI institutional barrier scores by 30 points, and has_mobile_phone ranks as the fifth most important predictor of financial exclusion across all three models. Financial institutions should be required to offer a fully digital onboarding journey accessible via USSD (for feature phones) and mobile application (for smartphones), without requiring a physical branch visit at any stage of the Tier 1 or Tier 2 onboarding process. The RBZ Mobile Banking Framework (2020) should be updated to include explicit provisions for: (a) liveness detection-based remote identity verification using the national digital ID registry; (b) acceptance of Eco-Cash, OneMoney, and Telecash transaction histories as supplementary identity evidence; and (c) agent banking mandates requiring commercial banks to operate at least one agent network point within 10 km of any rural growth point with a population exceeding 1,000 adults, addressing the branch distance barrier that affects 31% of rural residents in this dataset.</w:t>
      </w:r>
    </w:p>
    <w:p>
      <w:pPr>
        <w:spacing w:before="240" w:after="120" w:line="360" w:lineRule="exact"/>
        <w:jc w:val="left"/>
      </w:pPr>
      <w:r>
        <w:rPr>
          <w:rFonts w:ascii="Times New Roman" w:hAnsi="Times New Roman"/>
          <w:b/>
          <w:color w:val="000000"/>
          <w:sz w:val="24"/>
        </w:rPr>
        <w:t>Recommendation 5: Issue Gender-Responsive Compliance Guidance</w:t>
      </w:r>
    </w:p>
    <w:p>
      <w:pPr>
        <w:spacing w:before="0" w:after="120" w:line="360" w:lineRule="exact"/>
        <w:jc w:val="both"/>
      </w:pPr>
      <w:r>
        <w:rPr>
          <w:rFonts w:ascii="Times New Roman" w:hAnsi="Times New Roman"/>
          <w:b w:val="0"/>
          <w:color w:val="000000"/>
          <w:sz w:val="24"/>
        </w:rPr>
        <w:t>Responsible institution: RBZ; Ministry of Women Affairs, Community, Small and Medium Enterprises Development.</w:t>
      </w:r>
    </w:p>
    <w:p>
      <w:pPr>
        <w:spacing w:before="0" w:after="120" w:line="360" w:lineRule="exact"/>
        <w:jc w:val="both"/>
      </w:pPr>
      <w:r>
        <w:rPr>
          <w:rFonts w:ascii="Times New Roman" w:hAnsi="Times New Roman"/>
          <w:b w:val="0"/>
          <w:color w:val="000000"/>
          <w:sz w:val="24"/>
        </w:rPr>
        <w:t>Female exclusion exceeds male exclusion by 5.2 percentage points (38.9% versus 33.7%) in this study, with the primary driver being proof-of-address possession (female rate 31% vs male 42%). This gap reflects structural inequalities in property ownership and household documentation in Zimbabwe, where women disproportionately reside in households where utility accounts and tenancy agreements are registered in a male household member's name. The RBZ should issue dedicated guidance acknowledging this structural barrier and directing institutions to: (a) accept a shared household utility bill or tenancy agreement with a co-signer declaration as valid proof of address for all co-resident adults; (b) waive the proof-of-address requirement for joint accounts where one account holder satisfies the address verification requirement; and (c) explicitly prohibit the use of marital status, gender, or household headship as eligibility criteria in customer risk assessment models used for KYC tier assignment, consistent with the Constitution of Zimbabwe's equality provisions (Section 56).</w:t>
      </w:r>
    </w:p>
    <w:p>
      <w:pPr>
        <w:spacing w:before="240" w:after="120" w:line="360" w:lineRule="exact"/>
        <w:jc w:val="left"/>
      </w:pPr>
      <w:r>
        <w:rPr>
          <w:rFonts w:ascii="Times New Roman" w:hAnsi="Times New Roman"/>
          <w:b/>
          <w:color w:val="000000"/>
          <w:sz w:val="24"/>
        </w:rPr>
        <w:t>Recommendation 6: Adopt FERI as an RBZ Supervisory Monitoring Tool</w:t>
      </w:r>
    </w:p>
    <w:p>
      <w:pPr>
        <w:spacing w:before="0" w:after="120" w:line="360" w:lineRule="exact"/>
        <w:jc w:val="both"/>
      </w:pPr>
      <w:r>
        <w:rPr>
          <w:rFonts w:ascii="Times New Roman" w:hAnsi="Times New Roman"/>
          <w:b w:val="0"/>
          <w:color w:val="000000"/>
          <w:sz w:val="24"/>
        </w:rPr>
        <w:t>Responsible institution: RBZ Financial Stability Division; FIU.</w:t>
      </w:r>
    </w:p>
    <w:p>
      <w:pPr>
        <w:spacing w:before="0" w:after="120" w:line="360" w:lineRule="exact"/>
        <w:jc w:val="both"/>
      </w:pPr>
      <w:r>
        <w:rPr>
          <w:rFonts w:ascii="Times New Roman" w:hAnsi="Times New Roman"/>
          <w:b w:val="0"/>
          <w:color w:val="000000"/>
          <w:sz w:val="24"/>
        </w:rPr>
        <w:t>The Financial Exclusion Risk Index provides a replicable, data-driven mechanism for monitoring the distributional consequences of KYC requirements at the institutional and population level. The RBZ should require all licensed commercial banks, microfinance institutions, and mobile money operators to report quarterly FERI-banded account opening statistics — including rejection rates, reasons for rejection mapped to FERI sub-components, and the demographic composition of rejected applicants — to the FIU under the existing financial inclusion reporting framework. This would create an accountability mechanism that makes KYC-driven exclusion visible to regulators in near-real time, enabling the early detection of systematic exclusion patterns before they compound into entrenched financial marginalisation. The FERI methodology developed in this study is open-source and available for direct adoption by the RBZ or adaptation to align with evolving regulatory reporting standards.</w:t>
      </w:r>
    </w:p>
    <w:p>
      <w:pPr>
        <w:jc w:val="left"/>
      </w:pPr>
      <w:r>
        <w:rPr>
          <w:rFonts w:ascii="Times New Roman" w:hAnsi="Times New Roman"/>
          <w:b/>
          <w:color w:val="000000"/>
          <w:sz w:val="20"/>
        </w:rPr>
        <w:t>Table 5.2: Policy recommendation summary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color w:val="000000"/>
                <w:sz w:val="20"/>
              </w:rPr>
              <w:t>Recommendation</w:t>
            </w:r>
          </w:p>
        </w:tc>
        <w:tc>
          <w:tcPr>
            <w:tcW w:type="dxa" w:w="1872"/>
          </w:tcPr>
          <w:p>
            <w:pPr>
              <w:jc w:val="center"/>
            </w:pPr>
            <w:r>
              <w:rPr>
                <w:rFonts w:ascii="Times New Roman" w:hAnsi="Times New Roman"/>
                <w:b/>
                <w:color w:val="000000"/>
                <w:sz w:val="20"/>
              </w:rPr>
              <w:t>Responsible Body</w:t>
            </w:r>
          </w:p>
        </w:tc>
        <w:tc>
          <w:tcPr>
            <w:tcW w:type="dxa" w:w="1872"/>
          </w:tcPr>
          <w:p>
            <w:pPr>
              <w:jc w:val="center"/>
            </w:pPr>
            <w:r>
              <w:rPr>
                <w:rFonts w:ascii="Times New Roman" w:hAnsi="Times New Roman"/>
                <w:b/>
                <w:color w:val="000000"/>
                <w:sz w:val="20"/>
              </w:rPr>
              <w:t>Affected Population</w:t>
            </w:r>
          </w:p>
        </w:tc>
        <w:tc>
          <w:tcPr>
            <w:tcW w:type="dxa" w:w="1872"/>
          </w:tcPr>
          <w:p>
            <w:pPr>
              <w:jc w:val="center"/>
            </w:pPr>
            <w:r>
              <w:rPr>
                <w:rFonts w:ascii="Times New Roman" w:hAnsi="Times New Roman"/>
                <w:b/>
                <w:color w:val="000000"/>
                <w:sz w:val="20"/>
              </w:rPr>
              <w:t>Est. Impact</w:t>
            </w:r>
          </w:p>
        </w:tc>
        <w:tc>
          <w:tcPr>
            <w:tcW w:type="dxa" w:w="1872"/>
          </w:tcPr>
          <w:p>
            <w:pPr>
              <w:jc w:val="center"/>
            </w:pPr>
            <w:r>
              <w:rPr>
                <w:rFonts w:ascii="Times New Roman" w:hAnsi="Times New Roman"/>
                <w:b/>
                <w:color w:val="000000"/>
                <w:sz w:val="20"/>
              </w:rPr>
              <w:t>Alignment</w:t>
            </w:r>
          </w:p>
        </w:tc>
      </w:tr>
      <w:tr>
        <w:tc>
          <w:tcPr>
            <w:tcW w:type="dxa" w:w="1872"/>
          </w:tcPr>
          <w:p>
            <w:pPr>
              <w:jc w:val="center"/>
            </w:pPr>
            <w:r>
              <w:rPr>
                <w:rFonts w:ascii="Times New Roman" w:hAnsi="Times New Roman"/>
                <w:b w:val="0"/>
                <w:color w:val="000000"/>
                <w:sz w:val="20"/>
              </w:rPr>
              <w:t>1. Tiered KYC Framework</w:t>
            </w:r>
          </w:p>
        </w:tc>
        <w:tc>
          <w:tcPr>
            <w:tcW w:type="dxa" w:w="1872"/>
          </w:tcPr>
          <w:p>
            <w:pPr>
              <w:jc w:val="center"/>
            </w:pPr>
            <w:r>
              <w:rPr>
                <w:rFonts w:ascii="Times New Roman" w:hAnsi="Times New Roman"/>
                <w:b w:val="0"/>
                <w:color w:val="000000"/>
                <w:sz w:val="20"/>
              </w:rPr>
              <w:t>RBZ / FIU</w:t>
            </w:r>
          </w:p>
        </w:tc>
        <w:tc>
          <w:tcPr>
            <w:tcW w:type="dxa" w:w="1872"/>
          </w:tcPr>
          <w:p>
            <w:pPr>
              <w:jc w:val="center"/>
            </w:pPr>
            <w:r>
              <w:rPr>
                <w:rFonts w:ascii="Times New Roman" w:hAnsi="Times New Roman"/>
                <w:b w:val="0"/>
                <w:color w:val="000000"/>
                <w:sz w:val="20"/>
              </w:rPr>
              <w:t>~68% of excluded</w:t>
            </w:r>
          </w:p>
        </w:tc>
        <w:tc>
          <w:tcPr>
            <w:tcW w:type="dxa" w:w="1872"/>
          </w:tcPr>
          <w:p>
            <w:pPr>
              <w:jc w:val="center"/>
            </w:pPr>
            <w:r>
              <w:rPr>
                <w:rFonts w:ascii="Times New Roman" w:hAnsi="Times New Roman"/>
                <w:b w:val="0"/>
                <w:color w:val="000000"/>
                <w:sz w:val="20"/>
              </w:rPr>
              <w:t>HIGH</w:t>
            </w:r>
          </w:p>
        </w:tc>
        <w:tc>
          <w:tcPr>
            <w:tcW w:type="dxa" w:w="1872"/>
          </w:tcPr>
          <w:p>
            <w:pPr>
              <w:jc w:val="center"/>
            </w:pPr>
            <w:r>
              <w:rPr>
                <w:rFonts w:ascii="Times New Roman" w:hAnsi="Times New Roman"/>
                <w:b w:val="0"/>
                <w:color w:val="000000"/>
                <w:sz w:val="20"/>
              </w:rPr>
              <w:t>FATF Rec. 10 SDD</w:t>
            </w:r>
          </w:p>
        </w:tc>
      </w:tr>
      <w:tr>
        <w:tc>
          <w:tcPr>
            <w:tcW w:type="dxa" w:w="1872"/>
          </w:tcPr>
          <w:p>
            <w:pPr>
              <w:jc w:val="center"/>
            </w:pPr>
            <w:r>
              <w:rPr>
                <w:rFonts w:ascii="Times New Roman" w:hAnsi="Times New Roman"/>
                <w:b w:val="0"/>
                <w:color w:val="000000"/>
                <w:sz w:val="20"/>
              </w:rPr>
              <w:t>2. Digital ID Infrastructure</w:t>
            </w:r>
          </w:p>
        </w:tc>
        <w:tc>
          <w:tcPr>
            <w:tcW w:type="dxa" w:w="1872"/>
          </w:tcPr>
          <w:p>
            <w:pPr>
              <w:jc w:val="center"/>
            </w:pPr>
            <w:r>
              <w:rPr>
                <w:rFonts w:ascii="Times New Roman" w:hAnsi="Times New Roman"/>
                <w:b w:val="0"/>
                <w:color w:val="000000"/>
                <w:sz w:val="20"/>
              </w:rPr>
              <w:t>Registrar General / RBZ</w:t>
            </w:r>
          </w:p>
        </w:tc>
        <w:tc>
          <w:tcPr>
            <w:tcW w:type="dxa" w:w="1872"/>
          </w:tcPr>
          <w:p>
            <w:pPr>
              <w:jc w:val="center"/>
            </w:pPr>
            <w:r>
              <w:rPr>
                <w:rFonts w:ascii="Times New Roman" w:hAnsi="Times New Roman"/>
                <w:b w:val="0"/>
                <w:color w:val="000000"/>
                <w:sz w:val="20"/>
              </w:rPr>
              <w:t>~30% of population</w:t>
            </w:r>
          </w:p>
        </w:tc>
        <w:tc>
          <w:tcPr>
            <w:tcW w:type="dxa" w:w="1872"/>
          </w:tcPr>
          <w:p>
            <w:pPr>
              <w:jc w:val="center"/>
            </w:pPr>
            <w:r>
              <w:rPr>
                <w:rFonts w:ascii="Times New Roman" w:hAnsi="Times New Roman"/>
                <w:b w:val="0"/>
                <w:color w:val="000000"/>
                <w:sz w:val="20"/>
              </w:rPr>
              <w:t>HIGH</w:t>
            </w:r>
          </w:p>
        </w:tc>
        <w:tc>
          <w:tcPr>
            <w:tcW w:type="dxa" w:w="1872"/>
          </w:tcPr>
          <w:p>
            <w:pPr>
              <w:jc w:val="center"/>
            </w:pPr>
            <w:r>
              <w:rPr>
                <w:rFonts w:ascii="Times New Roman" w:hAnsi="Times New Roman"/>
                <w:b w:val="0"/>
                <w:color w:val="000000"/>
                <w:sz w:val="20"/>
              </w:rPr>
              <w:t>ZNFIS II Target 2.1</w:t>
            </w:r>
          </w:p>
        </w:tc>
      </w:tr>
      <w:tr>
        <w:tc>
          <w:tcPr>
            <w:tcW w:type="dxa" w:w="1872"/>
          </w:tcPr>
          <w:p>
            <w:pPr>
              <w:jc w:val="center"/>
            </w:pPr>
            <w:r>
              <w:rPr>
                <w:rFonts w:ascii="Times New Roman" w:hAnsi="Times New Roman"/>
                <w:b w:val="0"/>
                <w:color w:val="000000"/>
                <w:sz w:val="20"/>
              </w:rPr>
              <w:t>3. Alternative Proof of Address</w:t>
            </w:r>
          </w:p>
        </w:tc>
        <w:tc>
          <w:tcPr>
            <w:tcW w:type="dxa" w:w="1872"/>
          </w:tcPr>
          <w:p>
            <w:pPr>
              <w:jc w:val="center"/>
            </w:pPr>
            <w:r>
              <w:rPr>
                <w:rFonts w:ascii="Times New Roman" w:hAnsi="Times New Roman"/>
                <w:b w:val="0"/>
                <w:color w:val="000000"/>
                <w:sz w:val="20"/>
              </w:rPr>
              <w:t>RBZ Supervision</w:t>
            </w:r>
          </w:p>
        </w:tc>
        <w:tc>
          <w:tcPr>
            <w:tcW w:type="dxa" w:w="1872"/>
          </w:tcPr>
          <w:p>
            <w:pPr>
              <w:jc w:val="center"/>
            </w:pPr>
            <w:r>
              <w:rPr>
                <w:rFonts w:ascii="Times New Roman" w:hAnsi="Times New Roman"/>
                <w:b w:val="0"/>
                <w:color w:val="000000"/>
                <w:sz w:val="20"/>
              </w:rPr>
              <w:t>~45% rural adults</w:t>
            </w:r>
          </w:p>
        </w:tc>
        <w:tc>
          <w:tcPr>
            <w:tcW w:type="dxa" w:w="1872"/>
          </w:tcPr>
          <w:p>
            <w:pPr>
              <w:jc w:val="center"/>
            </w:pPr>
            <w:r>
              <w:rPr>
                <w:rFonts w:ascii="Times New Roman" w:hAnsi="Times New Roman"/>
                <w:b w:val="0"/>
                <w:color w:val="000000"/>
                <w:sz w:val="20"/>
              </w:rPr>
              <w:t>HIGH</w:t>
            </w:r>
          </w:p>
        </w:tc>
        <w:tc>
          <w:tcPr>
            <w:tcW w:type="dxa" w:w="1872"/>
          </w:tcPr>
          <w:p>
            <w:pPr>
              <w:jc w:val="center"/>
            </w:pPr>
            <w:r>
              <w:rPr>
                <w:rFonts w:ascii="Times New Roman" w:hAnsi="Times New Roman"/>
                <w:b w:val="0"/>
                <w:color w:val="000000"/>
                <w:sz w:val="20"/>
              </w:rPr>
              <w:t>FATF Rec. 10 SDD</w:t>
            </w:r>
          </w:p>
        </w:tc>
      </w:tr>
      <w:tr>
        <w:tc>
          <w:tcPr>
            <w:tcW w:type="dxa" w:w="1872"/>
          </w:tcPr>
          <w:p>
            <w:pPr>
              <w:jc w:val="center"/>
            </w:pPr>
            <w:r>
              <w:rPr>
                <w:rFonts w:ascii="Times New Roman" w:hAnsi="Times New Roman"/>
                <w:b w:val="0"/>
                <w:color w:val="000000"/>
                <w:sz w:val="20"/>
              </w:rPr>
              <w:t>4. Mobile-First Onboarding</w:t>
            </w:r>
          </w:p>
        </w:tc>
        <w:tc>
          <w:tcPr>
            <w:tcW w:type="dxa" w:w="1872"/>
          </w:tcPr>
          <w:p>
            <w:pPr>
              <w:jc w:val="center"/>
            </w:pPr>
            <w:r>
              <w:rPr>
                <w:rFonts w:ascii="Times New Roman" w:hAnsi="Times New Roman"/>
                <w:b w:val="0"/>
                <w:color w:val="000000"/>
                <w:sz w:val="20"/>
              </w:rPr>
              <w:t>RBZ / ICT Ministry</w:t>
            </w:r>
          </w:p>
        </w:tc>
        <w:tc>
          <w:tcPr>
            <w:tcW w:type="dxa" w:w="1872"/>
          </w:tcPr>
          <w:p>
            <w:pPr>
              <w:jc w:val="center"/>
            </w:pPr>
            <w:r>
              <w:rPr>
                <w:rFonts w:ascii="Times New Roman" w:hAnsi="Times New Roman"/>
                <w:b w:val="0"/>
                <w:color w:val="000000"/>
                <w:sz w:val="20"/>
              </w:rPr>
              <w:t>~31% rural (&gt;20 km)</w:t>
            </w:r>
          </w:p>
        </w:tc>
        <w:tc>
          <w:tcPr>
            <w:tcW w:type="dxa" w:w="1872"/>
          </w:tcPr>
          <w:p>
            <w:pPr>
              <w:jc w:val="center"/>
            </w:pPr>
            <w:r>
              <w:rPr>
                <w:rFonts w:ascii="Times New Roman" w:hAnsi="Times New Roman"/>
                <w:b w:val="0"/>
                <w:color w:val="000000"/>
                <w:sz w:val="20"/>
              </w:rPr>
              <w:t>MEDIUM</w:t>
            </w:r>
          </w:p>
        </w:tc>
        <w:tc>
          <w:tcPr>
            <w:tcW w:type="dxa" w:w="1872"/>
          </w:tcPr>
          <w:p>
            <w:pPr>
              <w:jc w:val="center"/>
            </w:pPr>
            <w:r>
              <w:rPr>
                <w:rFonts w:ascii="Times New Roman" w:hAnsi="Times New Roman"/>
                <w:b w:val="0"/>
                <w:color w:val="000000"/>
                <w:sz w:val="20"/>
              </w:rPr>
              <w:t>RBZ Mobile Framework 2020</w:t>
            </w:r>
          </w:p>
        </w:tc>
      </w:tr>
      <w:tr>
        <w:tc>
          <w:tcPr>
            <w:tcW w:type="dxa" w:w="1872"/>
          </w:tcPr>
          <w:p>
            <w:pPr>
              <w:jc w:val="center"/>
            </w:pPr>
            <w:r>
              <w:rPr>
                <w:rFonts w:ascii="Times New Roman" w:hAnsi="Times New Roman"/>
                <w:b w:val="0"/>
                <w:color w:val="000000"/>
                <w:sz w:val="20"/>
              </w:rPr>
              <w:t>5. Gender-Responsive Guidance</w:t>
            </w:r>
          </w:p>
        </w:tc>
        <w:tc>
          <w:tcPr>
            <w:tcW w:type="dxa" w:w="1872"/>
          </w:tcPr>
          <w:p>
            <w:pPr>
              <w:jc w:val="center"/>
            </w:pPr>
            <w:r>
              <w:rPr>
                <w:rFonts w:ascii="Times New Roman" w:hAnsi="Times New Roman"/>
                <w:b w:val="0"/>
                <w:color w:val="000000"/>
                <w:sz w:val="20"/>
              </w:rPr>
              <w:t>RBZ / Women Affairs Ministry</w:t>
            </w:r>
          </w:p>
        </w:tc>
        <w:tc>
          <w:tcPr>
            <w:tcW w:type="dxa" w:w="1872"/>
          </w:tcPr>
          <w:p>
            <w:pPr>
              <w:jc w:val="center"/>
            </w:pPr>
            <w:r>
              <w:rPr>
                <w:rFonts w:ascii="Times New Roman" w:hAnsi="Times New Roman"/>
                <w:b w:val="0"/>
                <w:color w:val="000000"/>
                <w:sz w:val="20"/>
              </w:rPr>
              <w:t>~43% female adults</w:t>
            </w:r>
          </w:p>
        </w:tc>
        <w:tc>
          <w:tcPr>
            <w:tcW w:type="dxa" w:w="1872"/>
          </w:tcPr>
          <w:p>
            <w:pPr>
              <w:jc w:val="center"/>
            </w:pPr>
            <w:r>
              <w:rPr>
                <w:rFonts w:ascii="Times New Roman" w:hAnsi="Times New Roman"/>
                <w:b w:val="0"/>
                <w:color w:val="000000"/>
                <w:sz w:val="20"/>
              </w:rPr>
              <w:t>MEDIUM</w:t>
            </w:r>
          </w:p>
        </w:tc>
        <w:tc>
          <w:tcPr>
            <w:tcW w:type="dxa" w:w="1872"/>
          </w:tcPr>
          <w:p>
            <w:pPr>
              <w:jc w:val="center"/>
            </w:pPr>
            <w:r>
              <w:rPr>
                <w:rFonts w:ascii="Times New Roman" w:hAnsi="Times New Roman"/>
                <w:b w:val="0"/>
                <w:color w:val="000000"/>
                <w:sz w:val="20"/>
              </w:rPr>
              <w:t>Constitution s.56</w:t>
            </w:r>
          </w:p>
        </w:tc>
      </w:tr>
      <w:tr>
        <w:tc>
          <w:tcPr>
            <w:tcW w:type="dxa" w:w="1872"/>
          </w:tcPr>
          <w:p>
            <w:pPr>
              <w:jc w:val="center"/>
            </w:pPr>
            <w:r>
              <w:rPr>
                <w:rFonts w:ascii="Times New Roman" w:hAnsi="Times New Roman"/>
                <w:b w:val="0"/>
                <w:color w:val="000000"/>
                <w:sz w:val="20"/>
              </w:rPr>
              <w:t>6. FERI Supervisory Monitoring</w:t>
            </w:r>
          </w:p>
        </w:tc>
        <w:tc>
          <w:tcPr>
            <w:tcW w:type="dxa" w:w="1872"/>
          </w:tcPr>
          <w:p>
            <w:pPr>
              <w:jc w:val="center"/>
            </w:pPr>
            <w:r>
              <w:rPr>
                <w:rFonts w:ascii="Times New Roman" w:hAnsi="Times New Roman"/>
                <w:b w:val="0"/>
                <w:color w:val="000000"/>
                <w:sz w:val="20"/>
              </w:rPr>
              <w:t>RBZ Financial Stability / FIU</w:t>
            </w:r>
          </w:p>
        </w:tc>
        <w:tc>
          <w:tcPr>
            <w:tcW w:type="dxa" w:w="1872"/>
          </w:tcPr>
          <w:p>
            <w:pPr>
              <w:jc w:val="center"/>
            </w:pPr>
            <w:r>
              <w:rPr>
                <w:rFonts w:ascii="Times New Roman" w:hAnsi="Times New Roman"/>
                <w:b w:val="0"/>
                <w:color w:val="000000"/>
                <w:sz w:val="20"/>
              </w:rPr>
              <w:t>All regulated FSPs</w:t>
            </w:r>
          </w:p>
        </w:tc>
        <w:tc>
          <w:tcPr>
            <w:tcW w:type="dxa" w:w="1872"/>
          </w:tcPr>
          <w:p>
            <w:pPr>
              <w:jc w:val="center"/>
            </w:pPr>
            <w:r>
              <w:rPr>
                <w:rFonts w:ascii="Times New Roman" w:hAnsi="Times New Roman"/>
                <w:b w:val="0"/>
                <w:color w:val="000000"/>
                <w:sz w:val="20"/>
              </w:rPr>
              <w:t>MEDIUM</w:t>
            </w:r>
          </w:p>
        </w:tc>
        <w:tc>
          <w:tcPr>
            <w:tcW w:type="dxa" w:w="1872"/>
          </w:tcPr>
          <w:p>
            <w:pPr>
              <w:jc w:val="center"/>
            </w:pPr>
            <w:r>
              <w:rPr>
                <w:rFonts w:ascii="Times New Roman" w:hAnsi="Times New Roman"/>
                <w:b w:val="0"/>
                <w:color w:val="000000"/>
                <w:sz w:val="20"/>
              </w:rPr>
              <w:t>ZNFIS II Monitoring</w:t>
            </w:r>
          </w:p>
        </w:tc>
      </w:tr>
    </w:tbl>
    <w:p/>
    <w:p>
      <w:pPr>
        <w:spacing w:before="240" w:after="120" w:line="420" w:lineRule="exact"/>
        <w:jc w:val="left"/>
      </w:pPr>
      <w:r>
        <w:rPr>
          <w:rFonts w:ascii="Times New Roman" w:hAnsi="Times New Roman"/>
          <w:b/>
          <w:color w:val="000000"/>
          <w:sz w:val="28"/>
        </w:rPr>
        <w:t>5.5 Limitations of the Study</w:t>
      </w:r>
    </w:p>
    <w:p>
      <w:pPr>
        <w:spacing w:before="0" w:after="120" w:line="360" w:lineRule="exact"/>
        <w:jc w:val="both"/>
      </w:pPr>
      <w:r>
        <w:rPr>
          <w:rFonts w:ascii="Times New Roman" w:hAnsi="Times New Roman"/>
          <w:b w:val="0"/>
          <w:color w:val="000000"/>
          <w:sz w:val="24"/>
        </w:rPr>
        <w:t>This study acknowledges four principal limitations that qualify the scope and generalisability of its conclusions.</w:t>
      </w:r>
    </w:p>
    <w:p>
      <w:pPr>
        <w:spacing w:before="0" w:after="120" w:line="360" w:lineRule="exact"/>
        <w:jc w:val="both"/>
      </w:pPr>
      <w:r>
        <w:rPr>
          <w:rFonts w:ascii="Times New Roman" w:hAnsi="Times New Roman"/>
          <w:b w:val="0"/>
          <w:color w:val="000000"/>
          <w:sz w:val="24"/>
        </w:rPr>
        <w:t>First, and most fundamentally, the analysis is conducted on synthetic data. Although the dataset is carefully calibrated to reproduce the aggregate statistics of the FinScope Zimbabwe 2022 survey, it cannot fully replicate the joint distributions, tail dependencies, and contextual nuances present in actual individual-level KYC compliance and financial account records. The informal sector exclusion rate generated (42.7%) falls 13.3 percentage points below the FinScope target (56.0%), and the unemployed exclusion rate (46.6%) falls 23.4 percentage points below the FinScope target (70.0%). These gaps are acknowledged in the robustness analysis in Section 4.9 and do not materially alter the directional conclusions, but they do mean that the absolute quantitative estimates — particularly for these sub-groups — should be treated as indicative rather than definitive.</w:t>
      </w:r>
    </w:p>
    <w:p>
      <w:pPr>
        <w:spacing w:before="0" w:after="120" w:line="360" w:lineRule="exact"/>
        <w:jc w:val="both"/>
      </w:pPr>
      <w:r>
        <w:rPr>
          <w:rFonts w:ascii="Times New Roman" w:hAnsi="Times New Roman"/>
          <w:b w:val="0"/>
          <w:color w:val="000000"/>
          <w:sz w:val="24"/>
        </w:rPr>
        <w:t>Second, the study does not model the supply-side behaviour of financial institutions directly. Financial exclusion in practice is determined not only by individual documentation status but also by institutional risk appetite, branch network decisions, compliance culture, and staff training. The models in this study capture the demand-side documentation determinants of exclusion but do not account for supply-side variation across institutions.</w:t>
      </w:r>
    </w:p>
    <w:p>
      <w:pPr>
        <w:spacing w:before="0" w:after="120" w:line="360" w:lineRule="exact"/>
        <w:jc w:val="both"/>
      </w:pPr>
      <w:r>
        <w:rPr>
          <w:rFonts w:ascii="Times New Roman" w:hAnsi="Times New Roman"/>
          <w:b w:val="0"/>
          <w:color w:val="000000"/>
          <w:sz w:val="24"/>
        </w:rPr>
        <w:t>Third, the FERI index weights (0.45 for KYC documentation gap, 0.35 for demographic vulnerability, 0.20 for institutional barriers) were derived from the regulatory and empirical literature and validated through sensitivity analysis rather than estimated from revealed preference data. While the sensitivity analysis confirms that the rankings of high-risk groups are stable across a ±10% perturbation of the KYC weight, the absolute FERI scores are subject to weight uncertainty that could be resolved through calibration against actual rejection rate data.</w:t>
      </w:r>
    </w:p>
    <w:p>
      <w:pPr>
        <w:spacing w:before="0" w:after="120" w:line="360" w:lineRule="exact"/>
        <w:jc w:val="both"/>
      </w:pPr>
      <w:r>
        <w:rPr>
          <w:rFonts w:ascii="Times New Roman" w:hAnsi="Times New Roman"/>
          <w:b w:val="0"/>
          <w:color w:val="000000"/>
          <w:sz w:val="24"/>
        </w:rPr>
        <w:t>Fourth, the study adopts a cross-sectional design and therefore cannot model the dynamic effects of policy changes over time. The estimated reduction in exclusion rates under a tiered KYC framework is based on the static documentation profile of the current synthetic population and does not account for behavioural responses — such as increased document acquisition following the introduction of mobile onboarding — that would amplify the policy impact in practice.</w:t>
      </w:r>
    </w:p>
    <w:p>
      <w:pPr>
        <w:spacing w:before="240" w:after="120" w:line="420" w:lineRule="exact"/>
        <w:jc w:val="left"/>
      </w:pPr>
      <w:r>
        <w:rPr>
          <w:rFonts w:ascii="Times New Roman" w:hAnsi="Times New Roman"/>
          <w:b/>
          <w:color w:val="000000"/>
          <w:sz w:val="28"/>
        </w:rPr>
        <w:t>5.6 Directions for Future Research</w:t>
      </w:r>
    </w:p>
    <w:p>
      <w:pPr>
        <w:spacing w:before="0" w:after="120" w:line="360" w:lineRule="exact"/>
        <w:jc w:val="both"/>
      </w:pPr>
      <w:r>
        <w:rPr>
          <w:rFonts w:ascii="Times New Roman" w:hAnsi="Times New Roman"/>
          <w:b w:val="0"/>
          <w:color w:val="000000"/>
          <w:sz w:val="24"/>
        </w:rPr>
        <w:t>Five directions for future research emerge from this study's findings and limitations.</w:t>
      </w:r>
    </w:p>
    <w:p>
      <w:pPr>
        <w:spacing w:before="0" w:after="120" w:line="360" w:lineRule="exact"/>
        <w:jc w:val="both"/>
      </w:pPr>
      <w:r>
        <w:rPr>
          <w:rFonts w:ascii="Times New Roman" w:hAnsi="Times New Roman"/>
          <w:b w:val="0"/>
          <w:color w:val="000000"/>
          <w:sz w:val="24"/>
        </w:rPr>
        <w:t>First, future work should seek access to anonymised institution-level KYC rejection records from the RBZ or FIU to validate the FERI framework against actual onboarding outcomes. Such data would enable the estimation of FERI weights from revealed preference rather than literature-derived assumptions, substantially strengthening the index's predictive validity and its credibility as a supervisory tool.</w:t>
      </w:r>
    </w:p>
    <w:p>
      <w:pPr>
        <w:spacing w:before="0" w:after="120" w:line="360" w:lineRule="exact"/>
        <w:jc w:val="both"/>
      </w:pPr>
      <w:r>
        <w:rPr>
          <w:rFonts w:ascii="Times New Roman" w:hAnsi="Times New Roman"/>
          <w:b w:val="0"/>
          <w:color w:val="000000"/>
          <w:sz w:val="24"/>
        </w:rPr>
        <w:t>Second, the supply-side dimension of financial exclusion — institutional risk appetite, branch network strategy, compliance costs, and staff training — deserves systematic investigation. A mixed-methods study combining institution-level regulatory filings with qualitative interviews of compliance officers would provide a more complete picture of the mechanisms through which KYC requirements translate into exclusion outcomes.</w:t>
      </w:r>
    </w:p>
    <w:p>
      <w:pPr>
        <w:spacing w:before="0" w:after="120" w:line="360" w:lineRule="exact"/>
        <w:jc w:val="both"/>
      </w:pPr>
      <w:r>
        <w:rPr>
          <w:rFonts w:ascii="Times New Roman" w:hAnsi="Times New Roman"/>
          <w:b w:val="0"/>
          <w:color w:val="000000"/>
          <w:sz w:val="24"/>
        </w:rPr>
        <w:t>Third, the dynamic effects of mobile identity verification and agent banking expansion on exclusion rates represent an important policy-relevant research question. A longitudinal analysis tracking exclusion outcomes before and after the introduction of mobile-first onboarding in a specific institution or province would provide causal evidence on the magnitude of these effects.</w:t>
      </w:r>
    </w:p>
    <w:p>
      <w:pPr>
        <w:spacing w:before="0" w:after="120" w:line="360" w:lineRule="exact"/>
        <w:jc w:val="both"/>
      </w:pPr>
      <w:r>
        <w:rPr>
          <w:rFonts w:ascii="Times New Roman" w:hAnsi="Times New Roman"/>
          <w:b w:val="0"/>
          <w:color w:val="000000"/>
          <w:sz w:val="24"/>
        </w:rPr>
        <w:t>Fourth, the generalisability of the FERI framework to other Sub-Saharan African contexts — particularly countries with similar AML/CFT frameworks, high mobile money penetration, and significant rural-urban documentation disparities, such as Zambia, Mozambique, and Tanzania — should be tested. Cross-country comparative analysis would establish whether the FERI weights and risk band thresholds are context-specific or represent a generalisable regional standard.</w:t>
      </w:r>
    </w:p>
    <w:p>
      <w:pPr>
        <w:spacing w:before="0" w:after="120" w:line="360" w:lineRule="exact"/>
        <w:jc w:val="both"/>
      </w:pPr>
      <w:r>
        <w:rPr>
          <w:rFonts w:ascii="Times New Roman" w:hAnsi="Times New Roman"/>
          <w:b w:val="0"/>
          <w:color w:val="000000"/>
          <w:sz w:val="24"/>
        </w:rPr>
        <w:t>Fifth, the gender-disaggregated analysis in this study identifies a persistent 5.2 percentage-point female exclusion premium that is only partially explained by documentation gaps. A dedicated gender-focused investigation examining the interaction between legal property rights, social norms around identity documentation, and KYC compliance barriers would provide the deeper causal understanding needed to design effective gender-responsive interventions.</w:t>
      </w:r>
    </w:p>
    <w:p>
      <w:pPr>
        <w:spacing w:before="240" w:after="120" w:line="420" w:lineRule="exact"/>
        <w:jc w:val="left"/>
      </w:pPr>
      <w:r>
        <w:rPr>
          <w:rFonts w:ascii="Times New Roman" w:hAnsi="Times New Roman"/>
          <w:b/>
          <w:color w:val="000000"/>
          <w:sz w:val="28"/>
        </w:rPr>
        <w:t>5.7 Chapter Summary and Closing Remarks</w:t>
      </w:r>
    </w:p>
    <w:p>
      <w:pPr>
        <w:spacing w:before="0" w:after="120" w:line="360" w:lineRule="exact"/>
        <w:jc w:val="both"/>
      </w:pPr>
      <w:r>
        <w:rPr>
          <w:rFonts w:ascii="Times New Roman" w:hAnsi="Times New Roman"/>
          <w:b w:val="0"/>
          <w:color w:val="000000"/>
          <w:sz w:val="24"/>
        </w:rPr>
        <w:t>This study set out to model the relationship between KYC compliance gaps and financial exclusion in Zimbabwe using machine learning methods, to construct a composite risk index capturing the multidimensional nature of that relationship, and to derive evidence-based policy recommendations from the resulting analysis. All five research objectives have been met. The three classification models achieved strong discriminative performance (ROC-AUC &gt; 0.83), consistently identifying national identity document possession and proof of residential address as the primary KYC barriers driving financial exclusion. The Financial Exclusion Risk Index successfully stratified the population into four risk bands, identifying 4.5% of individuals in the Critical Risk band as the priority population for immediate intervention and confirming that the lowest-income quintile, rural residents, and those without formal education bear the greatest burden of KYC-driven exclusion.</w:t>
      </w:r>
    </w:p>
    <w:p>
      <w:pPr>
        <w:spacing w:before="0" w:after="120" w:line="360" w:lineRule="exact"/>
        <w:jc w:val="both"/>
      </w:pPr>
      <w:r>
        <w:rPr>
          <w:rFonts w:ascii="Times New Roman" w:hAnsi="Times New Roman"/>
          <w:b w:val="0"/>
          <w:color w:val="000000"/>
          <w:sz w:val="24"/>
        </w:rPr>
        <w:t>The six policy recommendations — tiered KYC framework, digital identity infrastructure, alternative proof of address, mobile-first onboarding, gender-responsive guidance, and FERI-based supervisory monitoring — are grounded in the empirical findings of this study and aligned with the international regulatory framework applicable to Zimbabwe. Individually, each recommendation addresses a specific, quantified barrier to financial inclusion. Collectively, they represent a coherent, evidence-based pathway toward the Reserve Bank of Zimbabwe's stated target of 70% formal financial inclusion by 2030 under the Zimbabwe National Financial Inclusion Strategy II.</w:t>
      </w:r>
    </w:p>
    <w:p>
      <w:pPr>
        <w:spacing w:before="0" w:after="120" w:line="360" w:lineRule="exact"/>
        <w:jc w:val="both"/>
      </w:pPr>
      <w:r>
        <w:rPr>
          <w:rFonts w:ascii="Times New Roman" w:hAnsi="Times New Roman"/>
          <w:b w:val="0"/>
          <w:color w:val="000000"/>
          <w:sz w:val="24"/>
        </w:rPr>
        <w:t>The Financial Exclusion Risk Index developed in this study represents the principal methodological contribution to the literature. Unlike model-based exclusion predictions, FERI is a transparent, decomposable composite index that can be computed from administrative data sources without machine learning infrastructure, making it directly adoptable by regulatory bodies and financial institutions with limited analytical capacity. Its three sub-indices — KYC documentation gap, demographic vulnerability, and institutional barrier — provide actionable diagnostic information about the nature of the exclusion risk facing any individual or population segment, enabling targeted rather than blunt policy responses.</w:t>
      </w:r>
    </w:p>
    <w:p>
      <w:pPr>
        <w:spacing w:before="0" w:after="120" w:line="360" w:lineRule="exact"/>
        <w:jc w:val="both"/>
      </w:pPr>
      <w:r>
        <w:rPr>
          <w:rFonts w:ascii="Times New Roman" w:hAnsi="Times New Roman"/>
          <w:b w:val="0"/>
          <w:color w:val="000000"/>
          <w:sz w:val="24"/>
        </w:rPr>
        <w:t>Zimbabwe stands at a pivotal moment in its financial inclusion trajectory. The rapid expansion of mobile money infrastructure, the forthcoming national digital identity initiative, and the growing international consensus around risk-proportionate AML/CFT compliance create a policy window that did not exist a decade ago. The evidence presented in this study demonstrates that KYC barriers are not an intractable feature of Zimbabwe's financial landscape but a policy-designed constraint that can be redesigned — without compromising the integrity of the financial system — to extend the benefits of formal financial inclusion to the millions of Zimbabweans currently excluded by documentation requirements that were never designed to exclude them.</w:t>
      </w:r>
    </w:p>
    <w:p>
      <w:pPr>
        <w:spacing w:before="240" w:after="120" w:line="420" w:lineRule="exact"/>
        <w:jc w:val="left"/>
      </w:pPr>
      <w:r>
        <w:rPr>
          <w:rFonts w:ascii="Times New Roman" w:hAnsi="Times New Roman"/>
          <w:b/>
          <w:color w:val="000000"/>
          <w:sz w:val="28"/>
        </w:rPr>
        <w:t>References (Chapter 5)</w:t>
      </w:r>
    </w:p>
    <w:p>
      <w:pPr>
        <w:spacing w:before="0" w:after="80" w:line="320" w:lineRule="exact"/>
        <w:ind w:left="720" w:hanging="720"/>
        <w:jc w:val="both"/>
      </w:pPr>
      <w:r>
        <w:rPr>
          <w:rFonts w:ascii="Times New Roman" w:hAnsi="Times New Roman"/>
          <w:b w:val="0"/>
          <w:color w:val="000000"/>
          <w:sz w:val="22"/>
        </w:rPr>
        <w:t>Ambrosius, C. and Cuadros-Meñaca, A. (2022) 'AML/KYC regulations and financial inclusion in Latin American banking', Journal of Development Economics, 158, p. 102934.</w:t>
      </w:r>
    </w:p>
    <w:p>
      <w:pPr>
        <w:spacing w:before="0" w:after="80" w:line="320" w:lineRule="exact"/>
        <w:ind w:left="720" w:hanging="720"/>
        <w:jc w:val="both"/>
      </w:pPr>
      <w:r>
        <w:rPr>
          <w:rFonts w:ascii="Times New Roman" w:hAnsi="Times New Roman"/>
          <w:b w:val="0"/>
          <w:color w:val="000000"/>
          <w:sz w:val="22"/>
        </w:rPr>
        <w:t>Demirguc-Kunt, A., Klapper, L., Singer, D. and Ansar, S. (2022) The Global Findex Database 2021: Financial inclusion, digital payments, and resilience in the age of COVID-19. Washington, DC: World Bank.</w:t>
      </w:r>
    </w:p>
    <w:p>
      <w:pPr>
        <w:spacing w:before="0" w:after="80" w:line="320" w:lineRule="exact"/>
        <w:ind w:left="720" w:hanging="720"/>
        <w:jc w:val="both"/>
      </w:pPr>
      <w:r>
        <w:rPr>
          <w:rFonts w:ascii="Times New Roman" w:hAnsi="Times New Roman"/>
          <w:b w:val="0"/>
          <w:color w:val="000000"/>
          <w:sz w:val="22"/>
        </w:rPr>
        <w:t>FATF (2020) Guidance on digital identity. Paris: Financial Action Task Force.</w:t>
      </w:r>
    </w:p>
    <w:p>
      <w:pPr>
        <w:spacing w:before="0" w:after="80" w:line="320" w:lineRule="exact"/>
        <w:ind w:left="720" w:hanging="720"/>
        <w:jc w:val="both"/>
      </w:pPr>
      <w:r>
        <w:rPr>
          <w:rFonts w:ascii="Times New Roman" w:hAnsi="Times New Roman"/>
          <w:b w:val="0"/>
          <w:color w:val="000000"/>
          <w:sz w:val="22"/>
        </w:rPr>
        <w:t>FATF (2023) International standards on combating money laundering and the financing of terrorism and proliferation. Paris: Financial Action Task Force.</w:t>
      </w:r>
    </w:p>
    <w:p>
      <w:pPr>
        <w:spacing w:before="0" w:after="80" w:line="320" w:lineRule="exact"/>
        <w:ind w:left="720" w:hanging="720"/>
        <w:jc w:val="both"/>
      </w:pPr>
      <w:r>
        <w:rPr>
          <w:rFonts w:ascii="Times New Roman" w:hAnsi="Times New Roman"/>
          <w:b w:val="0"/>
          <w:color w:val="000000"/>
          <w:sz w:val="22"/>
        </w:rPr>
        <w:t>FinScope Zimbabwe (2022) FinScope consumer survey Zimbabwe 2022. Harare: FinMark Trust.</w:t>
      </w:r>
    </w:p>
    <w:p>
      <w:pPr>
        <w:spacing w:before="0" w:after="80" w:line="320" w:lineRule="exact"/>
        <w:ind w:left="720" w:hanging="720"/>
        <w:jc w:val="both"/>
      </w:pPr>
      <w:r>
        <w:rPr>
          <w:rFonts w:ascii="Times New Roman" w:hAnsi="Times New Roman"/>
          <w:b w:val="0"/>
          <w:color w:val="000000"/>
          <w:sz w:val="22"/>
        </w:rPr>
        <w:t>Government of Zimbabwe (2013) Constitution of Zimbabwe Amendment (No. 20). Harare: Government of Zimbabwe.</w:t>
      </w:r>
    </w:p>
    <w:p>
      <w:pPr>
        <w:spacing w:before="0" w:after="80" w:line="320" w:lineRule="exact"/>
        <w:ind w:left="720" w:hanging="720"/>
        <w:jc w:val="both"/>
      </w:pPr>
      <w:r>
        <w:rPr>
          <w:rFonts w:ascii="Times New Roman" w:hAnsi="Times New Roman"/>
          <w:b w:val="0"/>
          <w:color w:val="000000"/>
          <w:sz w:val="22"/>
        </w:rPr>
        <w:t>Government of Zimbabwe (2021) Cyber and Data Protection Act, Chapter 11:23. Harare: Government of Zimbabwe.</w:t>
      </w:r>
    </w:p>
    <w:p>
      <w:pPr>
        <w:spacing w:before="0" w:after="80" w:line="320" w:lineRule="exact"/>
        <w:ind w:left="720" w:hanging="720"/>
        <w:jc w:val="both"/>
      </w:pPr>
      <w:r>
        <w:rPr>
          <w:rFonts w:ascii="Times New Roman" w:hAnsi="Times New Roman"/>
          <w:b w:val="0"/>
          <w:color w:val="000000"/>
          <w:sz w:val="22"/>
        </w:rPr>
        <w:t>Reserve Bank of Zimbabwe (2020) Mobile banking framework. Harare: Reserve Bank of Zimbabwe.</w:t>
      </w:r>
    </w:p>
    <w:p>
      <w:pPr>
        <w:spacing w:before="0" w:after="80" w:line="320" w:lineRule="exact"/>
        <w:ind w:left="720" w:hanging="720"/>
        <w:jc w:val="both"/>
      </w:pPr>
      <w:r>
        <w:rPr>
          <w:rFonts w:ascii="Times New Roman" w:hAnsi="Times New Roman"/>
          <w:b w:val="0"/>
          <w:color w:val="000000"/>
          <w:sz w:val="22"/>
        </w:rPr>
        <w:t>Reserve Bank of Zimbabwe (2021) Anti-money laundering and counter-terrorism financing guidelines for financial institutions. Harare: Reserve Bank of Zimbabwe.</w:t>
      </w:r>
    </w:p>
    <w:p>
      <w:pPr>
        <w:spacing w:before="0" w:after="80" w:line="320" w:lineRule="exact"/>
        <w:ind w:left="720" w:hanging="720"/>
        <w:jc w:val="both"/>
      </w:pPr>
      <w:r>
        <w:rPr>
          <w:rFonts w:ascii="Times New Roman" w:hAnsi="Times New Roman"/>
          <w:b w:val="0"/>
          <w:color w:val="000000"/>
          <w:sz w:val="22"/>
        </w:rPr>
        <w:t>Reserve Bank of Zimbabwe (2022) Zimbabwe National Financial Inclusion Strategy II (ZNFIS II), 2022–2026. Harare: Reserve Bank of Zimbabwe.</w:t>
      </w:r>
    </w:p>
    <w:p>
      <w:pPr>
        <w:spacing w:before="0" w:after="80" w:line="320" w:lineRule="exact"/>
        <w:ind w:left="720" w:hanging="720"/>
        <w:jc w:val="both"/>
      </w:pPr>
      <w:r>
        <w:rPr>
          <w:rFonts w:ascii="Times New Roman" w:hAnsi="Times New Roman"/>
          <w:b w:val="0"/>
          <w:color w:val="000000"/>
          <w:sz w:val="22"/>
        </w:rPr>
        <w:t>Sarma, M. (2008) Index of financial inclusion. Working Paper No. 215. New Delhi: Indian Council for Research on International Economic Relations.</w:t>
      </w:r>
    </w:p>
    <w:p>
      <w:pPr>
        <w:spacing w:before="0" w:after="80" w:line="320" w:lineRule="exact"/>
        <w:ind w:left="720" w:hanging="720"/>
        <w:jc w:val="both"/>
      </w:pPr>
      <w:r>
        <w:rPr>
          <w:rFonts w:ascii="Times New Roman" w:hAnsi="Times New Roman"/>
          <w:b w:val="0"/>
          <w:color w:val="000000"/>
          <w:sz w:val="22"/>
        </w:rPr>
        <w:t>World Bank (2022) The global findex database 2021: Financial inclusion, digital payments, and resilience in the age of COVID-19.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