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8"/>
        </w:rPr>
        <w:t>ChromaIntel</w:t>
      </w:r>
    </w:p>
    <w:p>
      <w:pPr>
        <w:jc w:val="center"/>
      </w:pPr>
      <w:r>
        <w:rPr>
          <w:b/>
          <w:color w:val="1F2937"/>
          <w:sz w:val="36"/>
        </w:rPr>
        <w:t>AI-assisted LC-MS/MS Method Development MVP</w:t>
      </w:r>
    </w:p>
    <w:p>
      <w:pPr>
        <w:jc w:val="center"/>
      </w:pPr>
      <w:r>
        <w:rPr>
          <w:color w:val="64748B"/>
          <w:sz w:val="24"/>
        </w:rPr>
        <w:t>Технический отчет по данным, моделям, прямой и обратной задаче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r>
              <w:rPr>
                <w:b/>
                <w:color w:val="2563EB"/>
                <w:sz w:val="22"/>
              </w:rPr>
              <w:t>Назначение документа</w:t>
            </w:r>
          </w:p>
          <w:p>
            <w:r>
              <w:rPr>
                <w:color w:val="1F2937"/>
                <w:sz w:val="19"/>
              </w:rPr>
              <w:t>Описать, как устроен MVP ChromaIntel: какие данные собраны, что предсказывается, как обучаются forward и inverse модели, какие метрики получены, где ограничения текущего публичного датасета и что нужно для перехода к production-grade биоаналитической платформе.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65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6690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Дата отчета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2026-04-27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Репозиторий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github.com/namzhale/chromaintel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Локальный проект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C:\study\cheminf\pract\lcms_method_mvp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Основной стек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Python, RDKit, scikit-learn, XGBoost, CatBoost, FastAPI, Streamlit, PostgreSQL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ChromaIntel сейчас является локально запускаемым MVP для AI-assisted разработки LC-MS/MS методик в биоаналитике малых молекул. Система уже умеет собирать публичные RT-датасеты, нормализовать структуры и LC/MS-условия, обучать forward-модели retention time и proxy-quality, а также ранжировать кандидатные методы через constrained search поверх forward-предсказаний.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FF6FF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r>
              <w:rPr>
                <w:b/>
                <w:color w:val="64748B"/>
                <w:sz w:val="17"/>
              </w:rPr>
              <w:t>Dataset</w:t>
            </w:r>
          </w:p>
          <w:p>
            <w:r>
              <w:rPr>
                <w:b/>
                <w:color w:val="1F2937"/>
                <w:sz w:val="36"/>
              </w:rPr>
              <w:t>213 941</w:t>
            </w:r>
          </w:p>
          <w:p>
            <w:r>
              <w:rPr>
                <w:color w:val="64748B"/>
                <w:sz w:val="17"/>
              </w:rPr>
              <w:t>canonical rows</w:t>
            </w:r>
          </w:p>
        </w:tc>
        <w:tc>
          <w:tcPr>
            <w:tcW w:type="dxa" w:w="3400"/>
            <w:shd w:fill="F0FD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r>
              <w:rPr>
                <w:b/>
                <w:color w:val="64748B"/>
                <w:sz w:val="17"/>
              </w:rPr>
              <w:t>Compounds</w:t>
            </w:r>
          </w:p>
          <w:p>
            <w:r>
              <w:rPr>
                <w:b/>
                <w:color w:val="1F2937"/>
                <w:sz w:val="36"/>
              </w:rPr>
              <w:t>202 834</w:t>
            </w:r>
          </w:p>
          <w:p>
            <w:r>
              <w:rPr>
                <w:color w:val="64748B"/>
                <w:sz w:val="17"/>
              </w:rPr>
              <w:t>unique compounds</w:t>
            </w:r>
          </w:p>
        </w:tc>
        <w:tc>
          <w:tcPr>
            <w:tcW w:type="dxa" w:w="3400"/>
            <w:shd w:fill="EFF6FF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r>
              <w:rPr>
                <w:b/>
                <w:color w:val="64748B"/>
                <w:sz w:val="17"/>
              </w:rPr>
              <w:t>Best RT</w:t>
            </w:r>
          </w:p>
          <w:p>
            <w:r>
              <w:rPr>
                <w:b/>
                <w:color w:val="1F2937"/>
                <w:sz w:val="36"/>
              </w:rPr>
              <w:t>extra_trees</w:t>
            </w:r>
          </w:p>
          <w:p>
            <w:r>
              <w:rPr>
                <w:color w:val="64748B"/>
                <w:sz w:val="17"/>
              </w:rPr>
              <w:t>MAE 1.43 min</w:t>
            </w:r>
          </w:p>
        </w:tc>
      </w:tr>
      <w:tr>
        <w:tc>
          <w:tcPr>
            <w:tcW w:type="dxa" w:w="3400"/>
            <w:shd w:fill="F0FD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r>
              <w:rPr>
                <w:b/>
                <w:color w:val="64748B"/>
                <w:sz w:val="17"/>
              </w:rPr>
              <w:t>Retention order</w:t>
            </w:r>
          </w:p>
          <w:p>
            <w:r>
              <w:rPr>
                <w:b/>
                <w:color w:val="1F2937"/>
                <w:sz w:val="36"/>
              </w:rPr>
              <w:t>0.861</w:t>
            </w:r>
          </w:p>
          <w:p>
            <w:r>
              <w:rPr>
                <w:color w:val="64748B"/>
                <w:sz w:val="17"/>
              </w:rPr>
              <w:t>pairwise accuracy</w:t>
            </w:r>
          </w:p>
        </w:tc>
        <w:tc>
          <w:tcPr>
            <w:tcW w:type="dxa" w:w="3400"/>
            <w:shd w:fill="EFF6FF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r>
              <w:rPr>
                <w:b/>
                <w:color w:val="64748B"/>
                <w:sz w:val="17"/>
              </w:rPr>
              <w:t>Inverse rows</w:t>
            </w:r>
          </w:p>
          <w:p>
            <w:r>
              <w:rPr>
                <w:b/>
                <w:color w:val="1F2937"/>
                <w:sz w:val="36"/>
              </w:rPr>
              <w:t>641 823</w:t>
            </w:r>
          </w:p>
          <w:p>
            <w:r>
              <w:rPr>
                <w:color w:val="64748B"/>
                <w:sz w:val="17"/>
              </w:rPr>
              <w:t>proxy candidates</w:t>
            </w:r>
          </w:p>
        </w:tc>
        <w:tc>
          <w:tcPr>
            <w:tcW w:type="dxa" w:w="3400"/>
            <w:shd w:fill="F0FD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r>
              <w:rPr>
                <w:b/>
                <w:color w:val="64748B"/>
                <w:sz w:val="17"/>
              </w:rPr>
              <w:t>DL prep</w:t>
            </w:r>
          </w:p>
          <w:p>
            <w:r>
              <w:rPr>
                <w:b/>
                <w:color w:val="1F2937"/>
                <w:sz w:val="36"/>
              </w:rPr>
              <w:t>50 000</w:t>
            </w:r>
          </w:p>
          <w:p>
            <w:r>
              <w:rPr>
                <w:color w:val="64748B"/>
                <w:sz w:val="17"/>
              </w:rPr>
              <w:t>pairwise pairs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BEB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r>
              <w:rPr>
                <w:b/>
                <w:color w:val="D97706"/>
                <w:sz w:val="22"/>
              </w:rPr>
              <w:t>Главный вывод</w:t>
            </w:r>
          </w:p>
          <w:p>
            <w:r>
              <w:rPr>
                <w:color w:val="1F2937"/>
                <w:sz w:val="19"/>
              </w:rPr>
              <w:t>На публичных данных надежно обучается RT и производный quality surrogate. Параметры формы пика (асимметрия, tailing, ширина у основания/полувысоты, resolution, S/N, area/height) уже заведены в схему, но в текущем публичном training view имеют нулевое measured-покрытие. Для них требуется внутренний lab export или curated literature extraction.</w:t>
            </w:r>
          </w:p>
        </w:tc>
      </w:tr>
    </w:tbl>
    <w:p/>
    <w:p>
      <w:pPr>
        <w:pStyle w:val="ListBullet"/>
      </w:pPr>
      <w:r>
        <w:t>Forward задача: compound + LC/MS conditions -&gt; predicted RT, proxy quality, uncertainty/ad flags.</w:t>
      </w:r>
    </w:p>
    <w:p>
      <w:pPr>
        <w:pStyle w:val="ListBullet"/>
      </w:pPr>
      <w:r>
        <w:t>Inverse задача: target criteria + constraints -&gt; ranked candidate methods через search + forward scoring + optional inverse reranker.</w:t>
      </w:r>
    </w:p>
    <w:p>
      <w:pPr>
        <w:pStyle w:val="ListBullet"/>
      </w:pPr>
      <w:r>
        <w:t>Текущая inverse модель обучена на synthetic_proxy suitability labels; это проверка pipeline, не доказательство лабораторного success rate.</w:t>
      </w:r>
    </w:p>
    <w:p>
      <w:pPr>
        <w:pStyle w:val="ListBullet"/>
      </w:pPr>
      <w:r>
        <w:t>GUI и PDF dashboard уже показывают dataset coverage, модельные метрики, target readiness и inverse diagnostics.</w:t>
      </w:r>
    </w:p>
    <w:p>
      <w:pPr>
        <w:pStyle w:val="Heading1"/>
      </w:pPr>
      <w:r>
        <w:t>2. Архитектура MVP</w:t>
      </w:r>
    </w:p>
    <w:p>
      <w:r>
        <w:t>Архитектура разделена на слои, чтобы не смешивать ingestion, химию, моделирование и GUI. Это важно для аудируемости биоаналитических workflow: источник каждой строки сохраняется, а рекомендации объясняются через score decomposition.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5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Слой</w:t>
            </w:r>
          </w:p>
        </w:tc>
        <w:tc>
          <w:tcPr>
            <w:tcW w:type="dxa" w:w="725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Что делает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Data ingestion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Adapters для RepoRT, MCMRT, ReTiNA, METLIN SMRT, Kaggle descriptor sidecar, internal template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Canonical schema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Compound identity, LC method, MS settings, sample context, observation, peak metrics, provenance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Feature engineering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RDKit descriptors, LC numeric/categorical features, simplified gradient, MS placeholders, optional Morgan fingerprints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Forward training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RT regression + provisional quality surrogate with grouped and source/method/column holdouts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Recommendation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Constrained candidate generation, forward scoring, AD penalty, optional inverse ML reranker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Interfaces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Streamlit GUI, FastAPI skeleton, reports, Russian PDF dashboard, local CLI scripts</w:t>
            </w:r>
          </w:p>
        </w:tc>
      </w:tr>
    </w:tbl>
    <w:p/>
    <w:p>
      <w:pPr>
        <w:pStyle w:val="Heading1"/>
      </w:pPr>
      <w:r>
        <w:t>3. Датасет и нормализация</w:t>
      </w:r>
    </w:p>
    <w:p>
      <w:r>
        <w:t>Training view построен как canonical merge из публичных RT источников и шаблонов internal lab. Каждая строка сохраняет source_dataset/source_record_id, compound identity и максимум доступных LC/MS metadata.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Источник</w:t>
            </w:r>
          </w:p>
        </w:tc>
        <w:tc>
          <w:tcPr>
            <w:tcW w:type="dxa" w:w="6860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Роль в MVP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ReTiNA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119k+ rows из Hugging Face export; сильный вклад в public RT pretraining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METLIN SMRT Figshare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79k+ rows; используется как крупный RT источник и benchmark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MCMRT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10k+ rows, 30 reversed-phase methods; полезен для method-conditioned transfer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RepoRT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5k+ rows из bulk import + отдельные datasets; хорош для method metadata diversity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Kaggle METLIN descriptors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descriptor sidecar; используется как enrichment companion, не как самостоятельный RT source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Internal lab template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реалистичная схема для future BE-style assay outcomes и peak metrics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65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Поле</w:t>
            </w:r>
          </w:p>
        </w:tc>
        <w:tc>
          <w:tcPr>
            <w:tcW w:type="dxa" w:w="6690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Значение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Input rows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213941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Valid rows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213941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Filtered invalid SMILES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Split strategy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deterministic_hash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Train / validation / test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test: 21627 / train: 170626 / validation: 21688</w:t>
            </w:r>
          </w:p>
        </w:tc>
      </w:tr>
    </w:tbl>
    <w:p/>
    <w:p>
      <w:r>
        <w:br w:type="page"/>
      </w:r>
    </w:p>
    <w:p>
      <w:pPr>
        <w:pStyle w:val="Heading1"/>
      </w:pPr>
      <w:r>
        <w:t>4. Что предсказываем сейчас</w:t>
      </w:r>
    </w:p>
    <w:p>
      <w:r>
        <w:t>Целевые параметры разделены на три класса: measured targets, derived/proxy targets и unavailable targets. Это защищает проект от некорректных claims: если поле есть в схеме, но нет измеренных labels, модель по нему не обучается как supervised target.</w:t>
      </w:r>
    </w:p>
    <w:p>
      <w:r>
        <w:drawing>
          <wp:inline xmlns:a="http://schemas.openxmlformats.org/drawingml/2006/main" xmlns:pic="http://schemas.openxmlformats.org/drawingml/2006/picture">
            <wp:extent cx="5760720" cy="3049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Рисунок 1. Покрытие целевых параметров в текущем training 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38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Target</w:t>
            </w:r>
          </w:p>
        </w:tc>
        <w:tc>
          <w:tcPr>
            <w:tcW w:type="dxa" w:w="124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Rows</w:t>
            </w:r>
          </w:p>
        </w:tc>
        <w:tc>
          <w:tcPr>
            <w:tcW w:type="dxa" w:w="124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Coverage</w:t>
            </w:r>
          </w:p>
        </w:tc>
        <w:tc>
          <w:tcPr>
            <w:tcW w:type="dxa" w:w="181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Label source</w:t>
            </w:r>
          </w:p>
        </w:tc>
        <w:tc>
          <w:tcPr>
            <w:tcW w:type="dxa" w:w="215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Readiness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rt_min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213941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100%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measured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trainable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quality_score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213941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100%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derived_proxy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trainable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asymmetry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tailing_factor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peak_width_base_min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peak_width_half_height_min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resolution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sn_ratio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peak_area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peak_height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unavailable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low_intensity_risk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derived_proxy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proxy_only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poor_resolution_risk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derived_proxy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proxy_only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asymmetry_risk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derived_proxy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proxy_only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broad_peak_risk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derived_proxy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proxy_only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void_or_unretained_risk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derived_proxy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proxy_only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late_elution_risk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0%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derived_proxy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proxy_only</w:t>
            </w:r>
          </w:p>
        </w:tc>
      </w:tr>
    </w:tbl>
    <w:p/>
    <w:p>
      <w:pPr>
        <w:pStyle w:val="Heading1"/>
      </w:pPr>
      <w:r>
        <w:t>5. Forward-модели прямой задачи</w:t>
      </w:r>
    </w:p>
    <w:p>
      <w:r>
        <w:t>Forward task формулируется как prediction under method: входом являются compound descriptors и LC/MS conditions, выходом - retention time и provisional quality score. Модель видит параметры метода как признаки, а не только строковый ярлык метода.</w:t>
      </w:r>
    </w:p>
    <w:p>
      <w:r>
        <w:drawing>
          <wp:inline xmlns:a="http://schemas.openxmlformats.org/drawingml/2006/main" xmlns:pic="http://schemas.openxmlformats.org/drawingml/2006/picture">
            <wp:extent cx="5760720" cy="1997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t_model_m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Рисунок 2. Test MAE для RT regression на final grouped holdout.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268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Model</w:t>
            </w:r>
          </w:p>
        </w:tc>
        <w:tc>
          <w:tcPr>
            <w:tcW w:type="dxa" w:w="124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MAE</w:t>
            </w:r>
          </w:p>
        </w:tc>
        <w:tc>
          <w:tcPr>
            <w:tcW w:type="dxa" w:w="124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RMSE</w:t>
            </w:r>
          </w:p>
        </w:tc>
        <w:tc>
          <w:tcPr>
            <w:tcW w:type="dxa" w:w="113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R2</w:t>
            </w:r>
          </w:p>
        </w:tc>
        <w:tc>
          <w:tcPr>
            <w:tcW w:type="dxa" w:w="136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Spearman</w:t>
            </w:r>
          </w:p>
        </w:tc>
        <w:tc>
          <w:tcPr>
            <w:tcW w:type="dxa" w:w="181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nMAE/runtime</w:t>
            </w:r>
          </w:p>
        </w:tc>
      </w:tr>
      <w:tr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extra_trees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1.429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2.313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0.858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0.867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6.51%</w:t>
            </w:r>
          </w:p>
        </w:tc>
      </w:tr>
      <w:tr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random_forest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1.464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2.375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0.851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0.861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6.67%</w:t>
            </w:r>
          </w:p>
        </w:tc>
      </w:tr>
      <w:tr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hist_gradient_boosting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1.785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2.607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0.820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0.817</w:t>
            </w:r>
          </w:p>
        </w:tc>
        <w:tc>
          <w:tcPr>
            <w:tcW w:type="dxa" w:w="17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8.13%</w:t>
            </w:r>
          </w:p>
        </w:tc>
      </w:tr>
      <w:tr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linear_ridge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2.253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3.296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0.712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0.758</w:t>
            </w:r>
          </w:p>
        </w:tc>
        <w:tc>
          <w:tcPr>
            <w:tcW w:type="dxa" w:w="17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10.26%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55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Quality model</w:t>
            </w:r>
          </w:p>
        </w:tc>
        <w:tc>
          <w:tcPr>
            <w:tcW w:type="dxa" w:w="170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MAE</w:t>
            </w:r>
          </w:p>
        </w:tc>
        <w:tc>
          <w:tcPr>
            <w:tcW w:type="dxa" w:w="170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RMSE</w:t>
            </w:r>
          </w:p>
        </w:tc>
        <w:tc>
          <w:tcPr>
            <w:tcW w:type="dxa" w:w="141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R2</w:t>
            </w:r>
          </w:p>
        </w:tc>
        <w:tc>
          <w:tcPr>
            <w:tcW w:type="dxa" w:w="141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Spearman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random_forest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0.000007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0.000781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0.904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extra_trees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0.000010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0.001022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0.836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linear_ridge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0.000019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0.001742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0.524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0.017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hist_gradient_boosting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0.000041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0.001970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0.391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0.040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DFA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r>
              <w:rPr>
                <w:b/>
                <w:color w:val="0F766E"/>
                <w:sz w:val="22"/>
              </w:rPr>
              <w:t>Retention-order diagnostic</w:t>
            </w:r>
          </w:p>
          <w:p>
            <w:r>
              <w:rPr>
                <w:color w:val="1F2937"/>
                <w:sz w:val="19"/>
              </w:rPr>
              <w:t>На held-out predictions: pairwise accuracy = 0.861, Spearman RT = 0.867, сравнимых пар = 195,428. Это важно для метод-разработки: часто нужна не только абсолютная RT, но и правильный порядок элюирования.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1997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hold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Рисунок 3. Source-family holdout MAE для RT, лучший/сильный baseline по каждому семейству.</w:t>
      </w:r>
    </w:p>
    <w:p>
      <w:pPr>
        <w:pStyle w:val="Heading1"/>
      </w:pPr>
      <w:r>
        <w:t>6. Обратная задача: recommendation / inverse ML</w:t>
      </w:r>
    </w:p>
    <w:p>
      <w:r>
        <w:t>Обратная задача не решается прямой генеративной нейросетью. MVP использует более надежную схему: генерация кандидатных LC methods из разрешенного search space, forward scoring каждого кандидата, добавление штрафов за runtime/OOD/constraint violations и optional inverse suitability reranker.</w:t>
      </w:r>
    </w:p>
    <w:p>
      <w:pPr>
        <w:pStyle w:val="ListBullet"/>
      </w:pPr>
      <w:r>
        <w:t>Search space задает колонки, mobile phases, pH, flow, temperature, runtime bounds и forbidden combinations.</w:t>
      </w:r>
    </w:p>
    <w:p>
      <w:pPr>
        <w:pStyle w:val="ListBullet"/>
      </w:pPr>
      <w:r>
        <w:t>Forward score учитывает target RT fit, predicted quality, confidence, runtime penalty и applicability domain.</w:t>
      </w:r>
    </w:p>
    <w:p>
      <w:pPr>
        <w:pStyle w:val="ListBullet"/>
      </w:pPr>
      <w:r>
        <w:t>Inverse ML обучается на synthetic_proxy labels, сформированных из наблюдавшихся пригодных/непригодных условий.</w:t>
      </w:r>
    </w:p>
    <w:p>
      <w:pPr>
        <w:pStyle w:val="ListBullet"/>
      </w:pPr>
      <w:r>
        <w:t>После появления internal accepted/failed assay labels этот же pipeline станет supervised inverse validation layer.</w:t>
      </w:r>
    </w:p>
    <w:p>
      <w:r>
        <w:drawing>
          <wp:inline xmlns:a="http://schemas.openxmlformats.org/drawingml/2006/main" xmlns:pic="http://schemas.openxmlformats.org/drawingml/2006/picture">
            <wp:extent cx="5577840" cy="1933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br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33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Рисунок 4. Brier score inverse моделей на full proxy table; ниже лучше.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15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Model</w:t>
            </w:r>
          </w:p>
        </w:tc>
        <w:tc>
          <w:tcPr>
            <w:tcW w:type="dxa" w:w="113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ROC-AUC</w:t>
            </w:r>
          </w:p>
        </w:tc>
        <w:tc>
          <w:tcPr>
            <w:tcW w:type="dxa" w:w="113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PR-AUC</w:t>
            </w:r>
          </w:p>
        </w:tc>
        <w:tc>
          <w:tcPr>
            <w:tcW w:type="dxa" w:w="1134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Accuracy</w:t>
            </w:r>
          </w:p>
        </w:tc>
        <w:tc>
          <w:tcPr>
            <w:tcW w:type="dxa" w:w="136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Brier</w:t>
            </w:r>
          </w:p>
        </w:tc>
        <w:tc>
          <w:tcPr>
            <w:tcW w:type="dxa" w:w="124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N test</w:t>
            </w:r>
          </w:p>
        </w:tc>
        <w:tc>
          <w:tcPr>
            <w:tcW w:type="dxa" w:w="170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Labels</w:t>
            </w:r>
          </w:p>
        </w:tc>
      </w:tr>
      <w:tr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logistic_regression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2.11e-08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163809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synthetic_proxy</w:t>
            </w:r>
          </w:p>
        </w:tc>
      </w:tr>
      <w:tr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random_forest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8.90e-09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163809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synthetic_proxy</w:t>
            </w:r>
          </w:p>
        </w:tc>
      </w:tr>
      <w:tr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extra_trees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8.48e-10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163809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synthetic_proxy</w:t>
            </w:r>
          </w:p>
        </w:tc>
      </w:tr>
      <w:tr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hist_gradient_boosting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7.67e-12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163809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synthetic_proxy</w:t>
            </w:r>
          </w:p>
        </w:tc>
      </w:tr>
      <w:tr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xgboost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2.46e-08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163809</w:t>
            </w:r>
          </w:p>
        </w:tc>
        <w:tc>
          <w:tcPr>
            <w:tcW w:type="dxa" w:w="1457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synthetic_proxy</w:t>
            </w:r>
          </w:p>
        </w:tc>
      </w:tr>
      <w:tr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catboost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1.000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1.77e-08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163809</w:t>
            </w:r>
          </w:p>
        </w:tc>
        <w:tc>
          <w:tcPr>
            <w:tcW w:type="dxa" w:w="1457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synthetic_proxy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55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Model</w:t>
            </w:r>
          </w:p>
        </w:tc>
        <w:tc>
          <w:tcPr>
            <w:tcW w:type="dxa" w:w="124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Top-1</w:t>
            </w:r>
          </w:p>
        </w:tc>
        <w:tc>
          <w:tcPr>
            <w:tcW w:type="dxa" w:w="124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Top-3</w:t>
            </w:r>
          </w:p>
        </w:tc>
        <w:tc>
          <w:tcPr>
            <w:tcW w:type="dxa" w:w="124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Top-5</w:t>
            </w:r>
          </w:p>
        </w:tc>
        <w:tc>
          <w:tcPr>
            <w:tcW w:type="dxa" w:w="1928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Mean first rank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logistic_regression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random_forest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extra_trees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hist_gradient_boosting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xgboost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catboost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1.000</w:t>
            </w:r>
          </w:p>
        </w:tc>
        <w:tc>
          <w:tcPr>
            <w:tcW w:type="dxa" w:w="204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BEB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r>
              <w:rPr>
                <w:b/>
                <w:color w:val="D97706"/>
                <w:sz w:val="22"/>
              </w:rPr>
              <w:t>Важная оговорка</w:t>
            </w:r>
          </w:p>
          <w:p>
            <w:r>
              <w:rPr>
                <w:color w:val="1F2937"/>
                <w:sz w:val="19"/>
              </w:rPr>
              <w:t>Идеальные inverse metrics объясняются synthetic_proxy labels. Это означает, что pipeline и ранжирование технически работают, но реальную ценность inverse модели нужно проверять на лабораторных accepted/failed методиках и outcome labels.</w:t>
            </w:r>
          </w:p>
        </w:tc>
      </w:tr>
    </w:tbl>
    <w:p/>
    <w:p>
      <w:pPr>
        <w:pStyle w:val="Heading1"/>
      </w:pPr>
      <w:r>
        <w:t>7. Подготовка данных для DL без обучения нейросетей</w:t>
      </w:r>
    </w:p>
    <w:p>
      <w:r>
        <w:t>Нейросетевые модели пока не обучались намеренно: сначала подготовлен reproducible data layer, чтобы позже можно было подключить GCN/GAT/MPNN/D-MPNN или SMILES-transformer embeddings без переписывания ingestion.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65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Поле</w:t>
            </w:r>
          </w:p>
        </w:tc>
        <w:tc>
          <w:tcPr>
            <w:tcW w:type="dxa" w:w="6690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Значение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Graph manifest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C:\study\cheminf\pract\lcms_method_mvp\data\processed\dl\graph_manifest.csv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SMILES transformer manifest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C:\study\cheminf\pract\lcms_method_mvp\data\processed\dl\smiles_transformer_manifest.csv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Pairwise retention-order manifest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C:\study\cheminf\pract\lcms_method_mvp\data\processed\dl\pairwise_retention_order_manifest.csv (50000 pairs)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Inverse-task manifest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C:\study\cheminf\pract\lcms_method_mvp\data\processed\dl\inverse_task_manifest.csv (213941 rows)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Graph deps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{"chemprop": false, "dgl": false, "rdkit": true, "torch": false, "torch_geometric": false}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Transformer deps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transformers_not_installed</w:t>
            </w:r>
          </w:p>
        </w:tc>
      </w:tr>
    </w:tbl>
    <w:p/>
    <w:p>
      <w:pPr>
        <w:pStyle w:val="Heading1"/>
      </w:pPr>
      <w:r>
        <w:t>8. GUI, отчеты и воспроизводимость</w:t>
      </w:r>
    </w:p>
    <w:p>
      <w:r>
        <w:t>Streamlit GUI показывает dashboard, dataset assembly, training, forward prediction, method recommendation, dataset browser, model evaluation и admin/import preview. PDF dashboard предназначен для презентации состояния датасета и моделей.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Компонент</w:t>
            </w:r>
          </w:p>
        </w:tc>
        <w:tc>
          <w:tcPr>
            <w:tcW w:type="dxa" w:w="6860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Что показывает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Forward prediction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Использует trained_forward_bundle.joblib, показывает RT, quality, confidence, AD flags.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Recommendation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Генерирует top-N methods, показывает score decomposition и inverse ML score при наличии bundle.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Dataset assembly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Показывает imported records, missingness, source distribution, examples.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Training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Отображает feature importance, source metrics, target readiness, inverse model diagnostics.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PDF dashboard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reports/chromaintel_dashboard_report.pdf, русская презентационная сводка.</w:t>
            </w:r>
          </w:p>
        </w:tc>
      </w:tr>
    </w:tbl>
    <w:p/>
    <w:p>
      <w:pPr>
        <w:pStyle w:val="Heading1"/>
      </w:pPr>
      <w:r>
        <w:t>9. Ограничения и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r>
              <w:rPr>
                <w:b/>
                <w:color w:val="64748B"/>
                <w:sz w:val="22"/>
              </w:rPr>
              <w:t>Ограничения текущей версии</w:t>
            </w:r>
          </w:p>
          <w:p>
            <w:r>
              <w:rPr>
                <w:color w:val="1F2937"/>
                <w:sz w:val="19"/>
              </w:rPr>
              <w:t>Публичные RT-датасеты плохо покрывают BE-style matrix/sample prep/MS transition outcomes и почти не содержат измеренных peak-shape labels. Поэтому сейчас качество пика и inverse success остаются proxy-layer.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#</w:t>
            </w:r>
          </w:p>
        </w:tc>
        <w:tc>
          <w:tcPr>
            <w:tcW w:type="dxa" w:w="2551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Направление</w:t>
            </w:r>
          </w:p>
        </w:tc>
        <w:tc>
          <w:tcPr>
            <w:tcW w:type="dxa" w:w="6236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8"/>
              </w:rPr>
              <w:t>Следующий шаг</w:t>
            </w:r>
          </w:p>
        </w:tc>
      </w:tr>
      <w:tr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Internal lab onboarding</w:t>
            </w:r>
          </w:p>
        </w:tc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Импортировать исторические runs с accepted/failed outcomes, peak width, asymmetry, tailing, S/N, resolution, area/height.</w:t>
            </w:r>
          </w:p>
        </w:tc>
      </w:tr>
      <w:tr>
        <w:tc>
          <w:tcPr>
            <w:tcW w:type="dxa" w:w="34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34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Measured peak-quality models</w:t>
            </w:r>
          </w:p>
        </w:tc>
        <w:tc>
          <w:tcPr>
            <w:tcW w:type="dxa" w:w="34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Переобучить quality heads на реальных labels; добавить PR-AUC/Brier/ECE для success/failure.</w:t>
            </w:r>
          </w:p>
        </w:tc>
      </w:tr>
      <w:tr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Morgan/full comparison</w:t>
            </w:r>
          </w:p>
        </w:tc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Запустить full comparison core vs Morgan vs full method features на artifact workflow.</w:t>
            </w:r>
          </w:p>
        </w:tc>
      </w:tr>
      <w:tr>
        <w:tc>
          <w:tcPr>
            <w:tcW w:type="dxa" w:w="34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34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Method-conditioned DL</w:t>
            </w:r>
          </w:p>
        </w:tc>
        <w:tc>
          <w:tcPr>
            <w:tcW w:type="dxa" w:w="34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После стабилизации данных обучить D-MPNN/Chemprop-style model с LC side-features.</w:t>
            </w:r>
          </w:p>
        </w:tc>
      </w:tr>
      <w:tr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Active learning loop</w:t>
            </w:r>
          </w:p>
        </w:tc>
        <w:tc>
          <w:tcPr>
            <w:tcW w:type="dxa" w:w="34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8"/>
              </w:rPr>
              <w:t>Подключить лабораторный feedback и Bayesian/active optimization вокруг top templates.</w:t>
            </w:r>
          </w:p>
        </w:tc>
      </w:tr>
    </w:tbl>
    <w:p/>
    <w:p>
      <w:pPr>
        <w:sectPr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Приложение: ключевые артефакты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Артефакт</w:t>
            </w:r>
          </w:p>
        </w:tc>
        <w:tc>
          <w:tcPr>
            <w:tcW w:type="dxa" w:w="5443"/>
            <w:shd w:fill="DBEAF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F2937"/>
                <w:sz w:val="17"/>
              </w:rPr>
              <w:t>Назначение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reports/model_training_summary.md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Forward training summary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reports/model_benchmark_matrix.csv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Unified benchmark matrix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reports/target_coverage_matrix.csv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Direct/proxy target readiness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reports/inverse_model_metrics.csv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Inverse model comparison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reports/inverse_topk_evaluation.csv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Top-k proxy diagnostics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reports/chromaintel_dashboard_report.pdf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Presentation PDF dashboard</w:t>
            </w:r>
          </w:p>
        </w:tc>
      </w:tr>
      <w:tr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data/processed/models/trained_forward_bundle.joblib</w:t>
            </w:r>
          </w:p>
        </w:tc>
        <w:tc>
          <w:tcPr>
            <w:tcW w:type="dxa" w:w="5100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Local forward bundle, not committed</w:t>
            </w:r>
          </w:p>
        </w:tc>
      </w:tr>
      <w:tr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data/processed/models/inverse_recommendation_bundle.joblib</w:t>
            </w:r>
          </w:p>
        </w:tc>
        <w:tc>
          <w:tcPr>
            <w:tcW w:type="dxa" w:w="5100"/>
            <w:shd w:fill="F8FAFC"/>
            <w:tcMar>
              <w:top w:w="120" w:type="dxa"/>
              <w:bottom w:w="120" w:type="dxa"/>
              <w:left w:w="90" w:type="dxa"/>
              <w:right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Local inverse reranker bundle, not committed</w:t>
            </w:r>
          </w:p>
        </w:tc>
      </w:tr>
    </w:tbl>
    <w:p/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