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FCA36">
      <w:pPr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告警运维管理业务线关系模式</w:t>
      </w:r>
      <w:bookmarkEnd w:id="0"/>
      <w:r>
        <w:rPr>
          <w:rFonts w:hint="eastAsia"/>
          <w:b/>
          <w:bCs/>
          <w:lang w:val="en-US" w:eastAsia="zh-CN"/>
        </w:rPr>
        <w:t>转换说明：</w:t>
      </w:r>
    </w:p>
    <w:p w14:paraId="6291BEDF">
      <w:pPr>
        <w:rPr>
          <w:rFonts w:hint="eastAsia"/>
          <w:lang w:val="en-US" w:eastAsia="zh-CN"/>
        </w:rPr>
      </w:pPr>
    </w:p>
    <w:p w14:paraId="782FE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设备台账与校准记录的关系：一个设备可以有多次校准记录。这是“一对多”关系。因此，将“校准记录”单独建表，并包含一个外键“台账编号”指向设备台账表。</w:t>
      </w:r>
    </w:p>
    <w:p w14:paraId="48F9FF3B">
      <w:pPr>
        <w:rPr>
          <w:rFonts w:hint="eastAsia"/>
          <w:lang w:val="en-US" w:eastAsia="zh-CN"/>
        </w:rPr>
      </w:pPr>
    </w:p>
    <w:p w14:paraId="5706E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校准记录与用户的关系：“校准记录”中包含“校准人员”。该“校准人员”是系统中的一个用户，因此使用“校准人员ID”作为外键，引用全局的“用户”表中的“用户ID”。</w:t>
      </w:r>
    </w:p>
    <w:p w14:paraId="6E1C76E9">
      <w:pPr>
        <w:rPr>
          <w:rFonts w:hint="eastAsia"/>
          <w:lang w:val="en-US" w:eastAsia="zh-CN"/>
        </w:rPr>
      </w:pPr>
    </w:p>
    <w:p w14:paraId="31914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告警信息与设备台账的关系：一个告警关联一个具体设备。这是“多对一”关系。因此，在“告警信息”表中设置外键“台账编号”，引用“设备台账”表的主键“台账编号”。</w:t>
      </w:r>
    </w:p>
    <w:p w14:paraId="75C6C2D7">
      <w:pPr>
        <w:rPr>
          <w:rFonts w:hint="eastAsia"/>
          <w:lang w:val="en-US" w:eastAsia="zh-CN"/>
        </w:rPr>
      </w:pPr>
    </w:p>
    <w:p w14:paraId="51DFB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单与告警信息的关系：一个运维工单对应一个告警信息（或一个告警可能对应多个工单，如果复查未通过）。这是“一对一”或“一对多”关系。在“运维工单”表中设置外键“告警编号”，引用“告警信息”表的主键。</w:t>
      </w:r>
    </w:p>
    <w:p w14:paraId="418B441A">
      <w:pPr>
        <w:rPr>
          <w:rFonts w:hint="eastAsia"/>
          <w:lang w:val="en-US" w:eastAsia="zh-CN"/>
        </w:rPr>
      </w:pPr>
    </w:p>
    <w:p w14:paraId="17686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运维工单与用户的关系：一个运维工单会分配给一个“运维人员”。该“运维人员”是系统中的一个用户，因此使用“运维人员ID”作为外键，引用全局的“用户”表中的“用户ID”。</w:t>
      </w:r>
    </w:p>
    <w:p w14:paraId="4B155F9C">
      <w:pPr>
        <w:rPr>
          <w:rFonts w:hint="eastAsia"/>
          <w:lang w:val="en-US" w:eastAsia="zh-CN"/>
        </w:rPr>
      </w:pPr>
    </w:p>
    <w:p w14:paraId="2061CD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告警运维管理业务线关系模式：</w:t>
      </w:r>
    </w:p>
    <w:p w14:paraId="0F208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设备台账（</w:t>
      </w:r>
      <w:r>
        <w:rPr>
          <w:rFonts w:hint="eastAsia"/>
          <w:b/>
          <w:bCs/>
          <w:lang w:val="en-US" w:eastAsia="zh-CN"/>
        </w:rPr>
        <w:t>台账编号</w:t>
      </w:r>
      <w:r>
        <w:rPr>
          <w:rFonts w:hint="eastAsia"/>
          <w:lang w:val="en-US" w:eastAsia="zh-CN"/>
        </w:rPr>
        <w:t xml:space="preserve">，设备名称，设备类型，型号规格，安装时间，质保期，报废状态） </w:t>
      </w:r>
    </w:p>
    <w:p w14:paraId="48958195">
      <w:pPr>
        <w:rPr>
          <w:rFonts w:hint="eastAsia"/>
          <w:lang w:val="en-US" w:eastAsia="zh-CN"/>
        </w:rPr>
      </w:pPr>
    </w:p>
    <w:p w14:paraId="10688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校准记录（</w:t>
      </w:r>
      <w:r>
        <w:rPr>
          <w:rFonts w:hint="eastAsia"/>
          <w:b/>
          <w:bCs/>
          <w:lang w:val="en-US" w:eastAsia="zh-CN"/>
        </w:rPr>
        <w:t>校准记录ID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台账编号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校准人员ID</w:t>
      </w:r>
      <w:r>
        <w:rPr>
          <w:rFonts w:hint="eastAsia"/>
          <w:lang w:val="en-US" w:eastAsia="zh-CN"/>
        </w:rPr>
        <w:t xml:space="preserve">，校准时间） </w:t>
      </w:r>
    </w:p>
    <w:p w14:paraId="56142179">
      <w:pPr>
        <w:rPr>
          <w:rFonts w:hint="eastAsia"/>
          <w:lang w:val="en-US" w:eastAsia="zh-CN"/>
        </w:rPr>
      </w:pPr>
    </w:p>
    <w:p w14:paraId="52F5F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告警信息（</w:t>
      </w:r>
      <w:r>
        <w:rPr>
          <w:rFonts w:hint="eastAsia"/>
          <w:b/>
          <w:bCs/>
          <w:lang w:val="en-US" w:eastAsia="zh-CN"/>
        </w:rPr>
        <w:t>告警编号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台账编号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告警类型</w:t>
      </w:r>
      <w:r>
        <w:rPr>
          <w:rFonts w:hint="eastAsia"/>
          <w:lang w:val="en-US" w:eastAsia="zh-CN"/>
        </w:rPr>
        <w:t xml:space="preserve">，发生时间，告警等级，告警内容，处理状态，告警触发阈值） </w:t>
      </w:r>
    </w:p>
    <w:p w14:paraId="0721BB28">
      <w:pPr>
        <w:rPr>
          <w:rFonts w:hint="eastAsia"/>
          <w:lang w:val="en-US" w:eastAsia="zh-CN"/>
        </w:rPr>
      </w:pPr>
    </w:p>
    <w:p w14:paraId="48270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运维工单（</w:t>
      </w:r>
      <w:r>
        <w:rPr>
          <w:rFonts w:hint="eastAsia"/>
          <w:b/>
          <w:bCs/>
          <w:lang w:val="en-US" w:eastAsia="zh-CN"/>
        </w:rPr>
        <w:t>工单编号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告警编号</w:t>
      </w:r>
      <w:r>
        <w:rPr>
          <w:rFonts w:hint="eastAsia"/>
          <w:lang w:val="en-US" w:eastAsia="zh-CN"/>
        </w:rPr>
        <w:t>，</w:t>
      </w:r>
      <w:r>
        <w:rPr>
          <w:rFonts w:hint="eastAsia"/>
          <w:u w:val="single"/>
          <w:lang w:val="en-US" w:eastAsia="zh-CN"/>
        </w:rPr>
        <w:t>运维人员ID</w:t>
      </w:r>
      <w:r>
        <w:rPr>
          <w:rFonts w:hint="eastAsia"/>
          <w:lang w:val="en-US" w:eastAsia="zh-CN"/>
        </w:rPr>
        <w:t>，派单时间，响应时间，处理完成时间，处理结果，复查状态，附件路径）</w:t>
      </w:r>
    </w:p>
    <w:p w14:paraId="6338A515">
      <w:pPr>
        <w:rPr>
          <w:rFonts w:hint="eastAsia"/>
          <w:lang w:val="en-US" w:eastAsia="zh-CN"/>
        </w:rPr>
      </w:pPr>
    </w:p>
    <w:p w14:paraId="1932D8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（粗体表示主键，_表示外键）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766B2"/>
    <w:rsid w:val="0A5F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2025-11-29T10:06:00Z</dcterms:created>
  <dc:creator>admin</dc:creator>
  <cp:lastModifiedBy>admin</cp:lastModifiedBy>
  <dcterms:modified xsi:type="dcterms:W3CDTF">2025-11-30T04:03:50Z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15242220A52D4E308FF2A494B82EF523_11</vt:lpwstr>
  </property>
</Properties>
</file>