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1F71E" w14:textId="77777777" w:rsidR="00314FB9" w:rsidRPr="00314FB9" w:rsidRDefault="00314FB9" w:rsidP="00314FB9">
      <w:pPr>
        <w:rPr>
          <w:b/>
          <w:bCs/>
        </w:rPr>
      </w:pPr>
      <w:r w:rsidRPr="00314FB9">
        <w:rPr>
          <w:b/>
          <w:bCs/>
        </w:rPr>
        <w:t>Health Expenditure and Suicide Rates [2000-2019]</w:t>
      </w:r>
    </w:p>
    <w:p w14:paraId="37423934" w14:textId="77777777" w:rsidR="00314FB9" w:rsidRPr="00314FB9" w:rsidRDefault="00314FB9" w:rsidP="00314FB9">
      <w:r w:rsidRPr="00314FB9">
        <w:t>Relation between health expenditure and suicide rates, in 2000/2019, WHO stats.</w:t>
      </w:r>
    </w:p>
    <w:p w14:paraId="2E0F3869" w14:textId="77777777" w:rsidR="0077098E" w:rsidRDefault="0077098E" w:rsidP="00314FB9"/>
    <w:p w14:paraId="4DD26699" w14:textId="54AA8DD0" w:rsidR="00314FB9" w:rsidRPr="00314FB9" w:rsidRDefault="00314FB9" w:rsidP="00314FB9">
      <w:r w:rsidRPr="00314FB9">
        <w:t>Data</w:t>
      </w:r>
    </w:p>
    <w:p w14:paraId="1BB6EBAE" w14:textId="77777777" w:rsidR="00314FB9" w:rsidRPr="00314FB9" w:rsidRDefault="00314FB9" w:rsidP="00314FB9">
      <w:r w:rsidRPr="00314FB9">
        <w:t>Code (0)</w:t>
      </w:r>
    </w:p>
    <w:p w14:paraId="537C3280" w14:textId="77777777" w:rsidR="00314FB9" w:rsidRPr="00314FB9" w:rsidRDefault="00314FB9" w:rsidP="00314FB9">
      <w:r w:rsidRPr="00314FB9">
        <w:t>Discussion (0)</w:t>
      </w:r>
    </w:p>
    <w:p w14:paraId="5EAA2C7E" w14:textId="77777777" w:rsidR="00314FB9" w:rsidRPr="00314FB9" w:rsidRDefault="00314FB9" w:rsidP="00314FB9">
      <w:r w:rsidRPr="00314FB9">
        <w:t>Metadata</w:t>
      </w:r>
    </w:p>
    <w:p w14:paraId="4179CF5D" w14:textId="77777777" w:rsidR="00314FB9" w:rsidRPr="00314FB9" w:rsidRDefault="00314FB9" w:rsidP="00314FB9">
      <w:pPr>
        <w:rPr>
          <w:b/>
          <w:bCs/>
        </w:rPr>
      </w:pPr>
      <w:r w:rsidRPr="00314FB9">
        <w:rPr>
          <w:b/>
          <w:bCs/>
        </w:rPr>
        <w:t>About Dataset</w:t>
      </w:r>
    </w:p>
    <w:p w14:paraId="79150AB5" w14:textId="77777777" w:rsidR="00314FB9" w:rsidRPr="00314FB9" w:rsidRDefault="00314FB9" w:rsidP="00314FB9">
      <w:r w:rsidRPr="00314FB9">
        <w:t>Context</w:t>
      </w:r>
    </w:p>
    <w:p w14:paraId="3748BF7C" w14:textId="77777777" w:rsidR="00314FB9" w:rsidRPr="00314FB9" w:rsidRDefault="00314FB9" w:rsidP="00314FB9">
      <w:r w:rsidRPr="00314FB9">
        <w:t>In light of Suicide Awareness Month, relationships between overall health investment (as a mental health proxy) and suicide rates are a key index to watch.</w:t>
      </w:r>
    </w:p>
    <w:p w14:paraId="7CE6CA17" w14:textId="77777777" w:rsidR="00314FB9" w:rsidRPr="00314FB9" w:rsidRDefault="00314FB9" w:rsidP="00314FB9">
      <w:r w:rsidRPr="00314FB9">
        <w:t>We expect a positive effect of more expenditure in health topics, giving away less rates of suicides in countries worldwide.</w:t>
      </w:r>
    </w:p>
    <w:p w14:paraId="3CE3D096" w14:textId="77777777" w:rsidR="00314FB9" w:rsidRPr="00314FB9" w:rsidRDefault="00314FB9" w:rsidP="00314FB9">
      <w:r w:rsidRPr="00314FB9">
        <w:t>The hope of less suicides brings us a light of answers of where to put our efforts, even though this job does not consider other relevant factors such as socioeconomical development, private and public actions, and individuals characteristics.</w:t>
      </w:r>
    </w:p>
    <w:p w14:paraId="0AC5EAA1" w14:textId="77777777" w:rsidR="00314FB9" w:rsidRPr="00314FB9" w:rsidRDefault="00314FB9" w:rsidP="00314FB9">
      <w:r w:rsidRPr="00314FB9">
        <w:t>Content</w:t>
      </w:r>
    </w:p>
    <w:p w14:paraId="65C6D7AF" w14:textId="77777777" w:rsidR="00314FB9" w:rsidRPr="00314FB9" w:rsidRDefault="00314FB9" w:rsidP="00314FB9">
      <w:r w:rsidRPr="00314FB9">
        <w:t>This data was downloaded from the WHO Mortality stats published and ICD10 death classification codes, then edited for format and condensation of ICD (more than 5 million rows) in SQL (Query attached). Finally, a tableau visualization was also developed.</w:t>
      </w:r>
      <w:r w:rsidRPr="00314FB9">
        <w:br/>
        <w:t>The following links are the primary content sources:</w:t>
      </w:r>
    </w:p>
    <w:p w14:paraId="184D536E" w14:textId="77777777" w:rsidR="00314FB9" w:rsidRPr="00314FB9" w:rsidRDefault="00314FB9" w:rsidP="00314FB9">
      <w:pPr>
        <w:numPr>
          <w:ilvl w:val="0"/>
          <w:numId w:val="1"/>
        </w:numPr>
      </w:pPr>
      <w:hyperlink r:id="rId5" w:history="1">
        <w:r w:rsidRPr="00314FB9">
          <w:rPr>
            <w:rStyle w:val="Hyperlink"/>
          </w:rPr>
          <w:t>https://www.who.int/data/data-collection-tools/who-mortality-database</w:t>
        </w:r>
      </w:hyperlink>
    </w:p>
    <w:p w14:paraId="69866A4A" w14:textId="77777777" w:rsidR="00314FB9" w:rsidRPr="00314FB9" w:rsidRDefault="00314FB9" w:rsidP="00314FB9">
      <w:pPr>
        <w:numPr>
          <w:ilvl w:val="0"/>
          <w:numId w:val="1"/>
        </w:numPr>
      </w:pPr>
      <w:hyperlink r:id="rId6" w:history="1">
        <w:r w:rsidRPr="00314FB9">
          <w:rPr>
            <w:rStyle w:val="Hyperlink"/>
          </w:rPr>
          <w:t>https://www.who.int/data/gho/data/indicators/indicator-details/GHO/current-health-expenditure-(che)-as-percentage-of-gross-domestic-product-(gdp)-(-</w:t>
        </w:r>
      </w:hyperlink>
      <w:r w:rsidRPr="00314FB9">
        <w:t>)</w:t>
      </w:r>
    </w:p>
    <w:p w14:paraId="64A89616" w14:textId="77777777" w:rsidR="00314FB9" w:rsidRPr="00314FB9" w:rsidRDefault="00314FB9" w:rsidP="00314FB9">
      <w:pPr>
        <w:numPr>
          <w:ilvl w:val="0"/>
          <w:numId w:val="1"/>
        </w:numPr>
      </w:pPr>
      <w:hyperlink r:id="rId7" w:history="1">
        <w:r w:rsidRPr="00314FB9">
          <w:rPr>
            <w:rStyle w:val="Hyperlink"/>
          </w:rPr>
          <w:t>https://health.mo.gov/data/documentation/death/death-icd10.php</w:t>
        </w:r>
      </w:hyperlink>
    </w:p>
    <w:p w14:paraId="3292B7D7" w14:textId="77777777" w:rsidR="00314FB9" w:rsidRPr="00314FB9" w:rsidRDefault="00314FB9" w:rsidP="00314FB9">
      <w:r w:rsidRPr="00314FB9">
        <w:t>"The data available for download from this web site are official national statistics in the sense that they have been transmitted to the World Health Organization by the competent authorities of the countries concerned.</w:t>
      </w:r>
    </w:p>
    <w:p w14:paraId="41A37185" w14:textId="77777777" w:rsidR="00314FB9" w:rsidRPr="00314FB9" w:rsidRDefault="00314FB9" w:rsidP="00314FB9">
      <w:r w:rsidRPr="00314FB9">
        <w:t>The database contains number of deaths by country, year, sex, age group and cause of death as far back from 1950. Data are included only for countries reporting data properly coded according to the International Classification of Diseases (ICD).</w:t>
      </w:r>
      <w:r w:rsidRPr="00314FB9">
        <w:br/>
        <w:t>"</w:t>
      </w:r>
    </w:p>
    <w:p w14:paraId="5DA2512A" w14:textId="77777777" w:rsidR="00140610" w:rsidRDefault="00140610"/>
    <w:sectPr w:rsidR="00140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221DC"/>
    <w:multiLevelType w:val="multilevel"/>
    <w:tmpl w:val="7B8C3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0579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FB9"/>
    <w:rsid w:val="00140610"/>
    <w:rsid w:val="00314FB9"/>
    <w:rsid w:val="0077098E"/>
    <w:rsid w:val="0090228C"/>
    <w:rsid w:val="00F85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BDFD"/>
  <w15:chartTrackingRefBased/>
  <w15:docId w15:val="{76F21945-5ABE-4AFD-82C0-1BD7A327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FB9"/>
    <w:rPr>
      <w:color w:val="0563C1" w:themeColor="hyperlink"/>
      <w:u w:val="single"/>
    </w:rPr>
  </w:style>
  <w:style w:type="character" w:styleId="UnresolvedMention">
    <w:name w:val="Unresolved Mention"/>
    <w:basedOn w:val="DefaultParagraphFont"/>
    <w:uiPriority w:val="99"/>
    <w:semiHidden/>
    <w:unhideWhenUsed/>
    <w:rsid w:val="00314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570472">
      <w:bodyDiv w:val="1"/>
      <w:marLeft w:val="0"/>
      <w:marRight w:val="0"/>
      <w:marTop w:val="0"/>
      <w:marBottom w:val="0"/>
      <w:divBdr>
        <w:top w:val="none" w:sz="0" w:space="0" w:color="auto"/>
        <w:left w:val="none" w:sz="0" w:space="0" w:color="auto"/>
        <w:bottom w:val="none" w:sz="0" w:space="0" w:color="auto"/>
        <w:right w:val="none" w:sz="0" w:space="0" w:color="auto"/>
      </w:divBdr>
      <w:divsChild>
        <w:div w:id="1589576949">
          <w:marLeft w:val="0"/>
          <w:marRight w:val="0"/>
          <w:marTop w:val="0"/>
          <w:marBottom w:val="0"/>
          <w:divBdr>
            <w:top w:val="none" w:sz="0" w:space="0" w:color="auto"/>
            <w:left w:val="none" w:sz="0" w:space="0" w:color="auto"/>
            <w:bottom w:val="none" w:sz="0" w:space="0" w:color="auto"/>
            <w:right w:val="none" w:sz="0" w:space="0" w:color="auto"/>
          </w:divBdr>
          <w:divsChild>
            <w:div w:id="957300703">
              <w:marLeft w:val="0"/>
              <w:marRight w:val="0"/>
              <w:marTop w:val="100"/>
              <w:marBottom w:val="100"/>
              <w:divBdr>
                <w:top w:val="none" w:sz="0" w:space="0" w:color="auto"/>
                <w:left w:val="none" w:sz="0" w:space="0" w:color="auto"/>
                <w:bottom w:val="none" w:sz="0" w:space="0" w:color="auto"/>
                <w:right w:val="none" w:sz="0" w:space="0" w:color="auto"/>
              </w:divBdr>
              <w:divsChild>
                <w:div w:id="116148144">
                  <w:marLeft w:val="0"/>
                  <w:marRight w:val="0"/>
                  <w:marTop w:val="0"/>
                  <w:marBottom w:val="0"/>
                  <w:divBdr>
                    <w:top w:val="none" w:sz="0" w:space="0" w:color="auto"/>
                    <w:left w:val="none" w:sz="0" w:space="0" w:color="auto"/>
                    <w:bottom w:val="none" w:sz="0" w:space="0" w:color="auto"/>
                    <w:right w:val="none" w:sz="0" w:space="0" w:color="auto"/>
                  </w:divBdr>
                  <w:divsChild>
                    <w:div w:id="1985691637">
                      <w:marLeft w:val="0"/>
                      <w:marRight w:val="720"/>
                      <w:marTop w:val="330"/>
                      <w:marBottom w:val="0"/>
                      <w:divBdr>
                        <w:top w:val="none" w:sz="0" w:space="0" w:color="auto"/>
                        <w:left w:val="none" w:sz="0" w:space="0" w:color="auto"/>
                        <w:bottom w:val="none" w:sz="0" w:space="0" w:color="auto"/>
                        <w:right w:val="none" w:sz="0" w:space="0" w:color="auto"/>
                      </w:divBdr>
                    </w:div>
                    <w:div w:id="6435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61477">
          <w:marLeft w:val="0"/>
          <w:marRight w:val="0"/>
          <w:marTop w:val="0"/>
          <w:marBottom w:val="0"/>
          <w:divBdr>
            <w:top w:val="none" w:sz="0" w:space="0" w:color="auto"/>
            <w:left w:val="none" w:sz="0" w:space="0" w:color="auto"/>
            <w:bottom w:val="none" w:sz="0" w:space="0" w:color="auto"/>
            <w:right w:val="none" w:sz="0" w:space="0" w:color="auto"/>
          </w:divBdr>
          <w:divsChild>
            <w:div w:id="1362780891">
              <w:marLeft w:val="0"/>
              <w:marRight w:val="0"/>
              <w:marTop w:val="100"/>
              <w:marBottom w:val="100"/>
              <w:divBdr>
                <w:top w:val="none" w:sz="0" w:space="0" w:color="auto"/>
                <w:left w:val="none" w:sz="0" w:space="0" w:color="auto"/>
                <w:bottom w:val="none" w:sz="0" w:space="0" w:color="auto"/>
                <w:right w:val="none" w:sz="0" w:space="0" w:color="auto"/>
              </w:divBdr>
              <w:divsChild>
                <w:div w:id="115875414">
                  <w:marLeft w:val="0"/>
                  <w:marRight w:val="0"/>
                  <w:marTop w:val="120"/>
                  <w:marBottom w:val="0"/>
                  <w:divBdr>
                    <w:top w:val="none" w:sz="0" w:space="0" w:color="auto"/>
                    <w:left w:val="none" w:sz="0" w:space="0" w:color="auto"/>
                    <w:bottom w:val="none" w:sz="0" w:space="0" w:color="auto"/>
                    <w:right w:val="none" w:sz="0" w:space="0" w:color="auto"/>
                  </w:divBdr>
                  <w:divsChild>
                    <w:div w:id="170148081">
                      <w:marLeft w:val="0"/>
                      <w:marRight w:val="0"/>
                      <w:marTop w:val="0"/>
                      <w:marBottom w:val="0"/>
                      <w:divBdr>
                        <w:top w:val="none" w:sz="0" w:space="0" w:color="auto"/>
                        <w:left w:val="none" w:sz="0" w:space="0" w:color="auto"/>
                        <w:bottom w:val="none" w:sz="0" w:space="0" w:color="auto"/>
                        <w:right w:val="none" w:sz="0" w:space="0" w:color="auto"/>
                      </w:divBdr>
                      <w:divsChild>
                        <w:div w:id="1433621597">
                          <w:marLeft w:val="0"/>
                          <w:marRight w:val="0"/>
                          <w:marTop w:val="0"/>
                          <w:marBottom w:val="0"/>
                          <w:divBdr>
                            <w:top w:val="none" w:sz="0" w:space="0" w:color="auto"/>
                            <w:left w:val="none" w:sz="0" w:space="0" w:color="auto"/>
                            <w:bottom w:val="none" w:sz="0" w:space="0" w:color="auto"/>
                            <w:right w:val="none" w:sz="0" w:space="0" w:color="auto"/>
                          </w:divBdr>
                          <w:divsChild>
                            <w:div w:id="739911102">
                              <w:marLeft w:val="0"/>
                              <w:marRight w:val="0"/>
                              <w:marTop w:val="0"/>
                              <w:marBottom w:val="0"/>
                              <w:divBdr>
                                <w:top w:val="none" w:sz="0" w:space="0" w:color="auto"/>
                                <w:left w:val="none" w:sz="0" w:space="0" w:color="auto"/>
                                <w:bottom w:val="none" w:sz="0" w:space="0" w:color="auto"/>
                                <w:right w:val="none" w:sz="0" w:space="0" w:color="auto"/>
                              </w:divBdr>
                            </w:div>
                            <w:div w:id="98062590">
                              <w:marLeft w:val="0"/>
                              <w:marRight w:val="0"/>
                              <w:marTop w:val="0"/>
                              <w:marBottom w:val="0"/>
                              <w:divBdr>
                                <w:top w:val="none" w:sz="0" w:space="0" w:color="auto"/>
                                <w:left w:val="none" w:sz="0" w:space="0" w:color="auto"/>
                                <w:bottom w:val="none" w:sz="0" w:space="0" w:color="auto"/>
                                <w:right w:val="none" w:sz="0" w:space="0" w:color="auto"/>
                              </w:divBdr>
                            </w:div>
                            <w:div w:id="866915081">
                              <w:marLeft w:val="0"/>
                              <w:marRight w:val="0"/>
                              <w:marTop w:val="0"/>
                              <w:marBottom w:val="0"/>
                              <w:divBdr>
                                <w:top w:val="none" w:sz="0" w:space="0" w:color="auto"/>
                                <w:left w:val="none" w:sz="0" w:space="0" w:color="auto"/>
                                <w:bottom w:val="none" w:sz="0" w:space="0" w:color="auto"/>
                                <w:right w:val="none" w:sz="0" w:space="0" w:color="auto"/>
                              </w:divBdr>
                            </w:div>
                            <w:div w:id="10015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639274">
          <w:marLeft w:val="0"/>
          <w:marRight w:val="0"/>
          <w:marTop w:val="100"/>
          <w:marBottom w:val="100"/>
          <w:divBdr>
            <w:top w:val="none" w:sz="0" w:space="0" w:color="auto"/>
            <w:left w:val="none" w:sz="0" w:space="0" w:color="auto"/>
            <w:bottom w:val="none" w:sz="0" w:space="0" w:color="auto"/>
            <w:right w:val="none" w:sz="0" w:space="0" w:color="auto"/>
          </w:divBdr>
          <w:divsChild>
            <w:div w:id="1963533863">
              <w:marLeft w:val="0"/>
              <w:marRight w:val="0"/>
              <w:marTop w:val="0"/>
              <w:marBottom w:val="600"/>
              <w:divBdr>
                <w:top w:val="none" w:sz="0" w:space="0" w:color="auto"/>
                <w:left w:val="none" w:sz="0" w:space="0" w:color="auto"/>
                <w:bottom w:val="none" w:sz="0" w:space="0" w:color="auto"/>
                <w:right w:val="none" w:sz="0" w:space="0" w:color="auto"/>
              </w:divBdr>
              <w:divsChild>
                <w:div w:id="1035928949">
                  <w:marLeft w:val="0"/>
                  <w:marRight w:val="0"/>
                  <w:marTop w:val="0"/>
                  <w:marBottom w:val="0"/>
                  <w:divBdr>
                    <w:top w:val="none" w:sz="0" w:space="0" w:color="auto"/>
                    <w:left w:val="none" w:sz="0" w:space="0" w:color="auto"/>
                    <w:bottom w:val="none" w:sz="0" w:space="0" w:color="auto"/>
                    <w:right w:val="none" w:sz="0" w:space="0" w:color="auto"/>
                  </w:divBdr>
                  <w:divsChild>
                    <w:div w:id="454757182">
                      <w:marLeft w:val="0"/>
                      <w:marRight w:val="0"/>
                      <w:marTop w:val="0"/>
                      <w:marBottom w:val="0"/>
                      <w:divBdr>
                        <w:top w:val="none" w:sz="0" w:space="0" w:color="auto"/>
                        <w:left w:val="none" w:sz="0" w:space="0" w:color="auto"/>
                        <w:bottom w:val="none" w:sz="0" w:space="0" w:color="auto"/>
                        <w:right w:val="none" w:sz="0" w:space="0" w:color="auto"/>
                      </w:divBdr>
                    </w:div>
                    <w:div w:id="1259414075">
                      <w:marLeft w:val="0"/>
                      <w:marRight w:val="0"/>
                      <w:marTop w:val="0"/>
                      <w:marBottom w:val="0"/>
                      <w:divBdr>
                        <w:top w:val="none" w:sz="0" w:space="0" w:color="auto"/>
                        <w:left w:val="none" w:sz="0" w:space="0" w:color="auto"/>
                        <w:bottom w:val="none" w:sz="0" w:space="0" w:color="auto"/>
                        <w:right w:val="none" w:sz="0" w:space="0" w:color="auto"/>
                      </w:divBdr>
                      <w:divsChild>
                        <w:div w:id="1165827112">
                          <w:marLeft w:val="0"/>
                          <w:marRight w:val="0"/>
                          <w:marTop w:val="0"/>
                          <w:marBottom w:val="0"/>
                          <w:divBdr>
                            <w:top w:val="none" w:sz="0" w:space="0" w:color="auto"/>
                            <w:left w:val="none" w:sz="0" w:space="0" w:color="auto"/>
                            <w:bottom w:val="none" w:sz="0" w:space="0" w:color="auto"/>
                            <w:right w:val="none" w:sz="0" w:space="0" w:color="auto"/>
                          </w:divBdr>
                          <w:divsChild>
                            <w:div w:id="11541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alth.mo.gov/data/documentation/death/death-icd10.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data/gho/data/indicators/indicator-details/GHO/current-health-expenditure-(che)-as-percentage-of-gross-domestic-product-(gdp)-(-" TargetMode="External"/><Relationship Id="rId5" Type="http://schemas.openxmlformats.org/officeDocument/2006/relationships/hyperlink" Target="https://www.who.int/data/data-collection-tools/who-mortality-datab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QUANSAH</dc:creator>
  <cp:keywords/>
  <dc:description/>
  <cp:lastModifiedBy>MARGARET QUANSAH</cp:lastModifiedBy>
  <cp:revision>2</cp:revision>
  <dcterms:created xsi:type="dcterms:W3CDTF">2022-09-07T10:52:00Z</dcterms:created>
  <dcterms:modified xsi:type="dcterms:W3CDTF">2022-09-07T10:53:00Z</dcterms:modified>
</cp:coreProperties>
</file>