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1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Risk to Opportunity: Strategic Importance Premiums in Geopolitical Market Shocks. How Markets Price Economic Opportunity Under Geopolitical Competition? </w:t>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 markets learn to identify geopolitical opportunity from repeated strategic shocks?</w:t>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pStyle w:val="Heading3"/>
        <w:spacing w:after="0" w:before="0" w:lineRule="auto"/>
        <w:rPr>
          <w:rFonts w:ascii="Times New Roman" w:cs="Times New Roman" w:eastAsia="Times New Roman" w:hAnsi="Times New Roman"/>
          <w:color w:val="000000"/>
          <w:sz w:val="24"/>
          <w:szCs w:val="24"/>
        </w:rPr>
      </w:pPr>
      <w:bookmarkStart w:colFirst="0" w:colLast="0" w:name="_2m5i21imvxcs" w:id="0"/>
      <w:bookmarkEnd w:id="0"/>
      <w:r w:rsidDel="00000000" w:rsidR="00000000" w:rsidRPr="00000000">
        <w:rPr>
          <w:rtl w:val="0"/>
        </w:rPr>
      </w:r>
    </w:p>
    <w:p w:rsidR="00000000" w:rsidDel="00000000" w:rsidP="00000000" w:rsidRDefault="00000000" w:rsidRPr="00000000" w14:paraId="00000017">
      <w:pPr>
        <w:pStyle w:val="Heading3"/>
        <w:spacing w:after="0" w:before="0" w:lineRule="auto"/>
        <w:rPr>
          <w:rFonts w:ascii="Times New Roman" w:cs="Times New Roman" w:eastAsia="Times New Roman" w:hAnsi="Times New Roman"/>
          <w:color w:val="000000"/>
          <w:sz w:val="24"/>
          <w:szCs w:val="24"/>
        </w:rPr>
      </w:pPr>
      <w:bookmarkStart w:colFirst="0" w:colLast="0" w:name="_6sg4y27ch48y" w:id="1"/>
      <w:bookmarkEnd w:id="1"/>
      <w:r w:rsidDel="00000000" w:rsidR="00000000" w:rsidRPr="00000000">
        <w:rPr>
          <w:rtl w:val="0"/>
        </w:rPr>
      </w:r>
    </w:p>
    <w:p w:rsidR="00000000" w:rsidDel="00000000" w:rsidP="00000000" w:rsidRDefault="00000000" w:rsidRPr="00000000" w14:paraId="00000018">
      <w:pPr>
        <w:pStyle w:val="Heading3"/>
        <w:spacing w:after="0" w:before="0" w:lineRule="auto"/>
        <w:rPr>
          <w:rFonts w:ascii="Times New Roman" w:cs="Times New Roman" w:eastAsia="Times New Roman" w:hAnsi="Times New Roman"/>
          <w:color w:val="000000"/>
          <w:sz w:val="24"/>
          <w:szCs w:val="24"/>
        </w:rPr>
      </w:pPr>
      <w:bookmarkStart w:colFirst="0" w:colLast="0" w:name="_6did5shhfrhh" w:id="2"/>
      <w:bookmarkEnd w:id="2"/>
      <w:r w:rsidDel="00000000" w:rsidR="00000000" w:rsidRPr="00000000">
        <w:rPr>
          <w:rtl w:val="0"/>
        </w:rPr>
      </w:r>
    </w:p>
    <w:p w:rsidR="00000000" w:rsidDel="00000000" w:rsidP="00000000" w:rsidRDefault="00000000" w:rsidRPr="00000000" w14:paraId="00000019">
      <w:pPr>
        <w:pStyle w:val="Heading3"/>
        <w:spacing w:after="0" w:before="0" w:lineRule="auto"/>
        <w:rPr>
          <w:rFonts w:ascii="Times New Roman" w:cs="Times New Roman" w:eastAsia="Times New Roman" w:hAnsi="Times New Roman"/>
          <w:color w:val="000000"/>
          <w:sz w:val="24"/>
          <w:szCs w:val="24"/>
        </w:rPr>
      </w:pPr>
      <w:bookmarkStart w:colFirst="0" w:colLast="0" w:name="_s1khwrvnukl6" w:id="3"/>
      <w:bookmarkEnd w:id="3"/>
      <w:r w:rsidDel="00000000" w:rsidR="00000000" w:rsidRPr="00000000">
        <w:rPr>
          <w:rtl w:val="0"/>
        </w:rPr>
      </w:r>
    </w:p>
    <w:p w:rsidR="00000000" w:rsidDel="00000000" w:rsidP="00000000" w:rsidRDefault="00000000" w:rsidRPr="00000000" w14:paraId="0000001A">
      <w:pPr>
        <w:pStyle w:val="Heading3"/>
        <w:spacing w:after="0" w:before="0" w:lineRule="auto"/>
        <w:rPr>
          <w:rFonts w:ascii="Times New Roman" w:cs="Times New Roman" w:eastAsia="Times New Roman" w:hAnsi="Times New Roman"/>
          <w:color w:val="000000"/>
          <w:sz w:val="24"/>
          <w:szCs w:val="24"/>
        </w:rPr>
      </w:pPr>
      <w:bookmarkStart w:colFirst="0" w:colLast="0" w:name="_4d8fb7kcpwty" w:id="4"/>
      <w:bookmarkEnd w:id="4"/>
      <w:r w:rsidDel="00000000" w:rsidR="00000000" w:rsidRPr="00000000">
        <w:rPr>
          <w:rtl w:val="0"/>
        </w:rPr>
      </w:r>
    </w:p>
    <w:p w:rsidR="00000000" w:rsidDel="00000000" w:rsidP="00000000" w:rsidRDefault="00000000" w:rsidRPr="00000000" w14:paraId="0000001B">
      <w:pPr>
        <w:pStyle w:val="Heading3"/>
        <w:spacing w:after="0" w:before="0" w:lineRule="auto"/>
        <w:rPr>
          <w:rFonts w:ascii="Times New Roman" w:cs="Times New Roman" w:eastAsia="Times New Roman" w:hAnsi="Times New Roman"/>
          <w:color w:val="000000"/>
          <w:sz w:val="24"/>
          <w:szCs w:val="24"/>
        </w:rPr>
      </w:pPr>
      <w:bookmarkStart w:colFirst="0" w:colLast="0" w:name="_cq2y0d84spbc" w:id="5"/>
      <w:bookmarkEnd w:id="5"/>
      <w:r w:rsidDel="00000000" w:rsidR="00000000" w:rsidRPr="00000000">
        <w:rPr>
          <w:rtl w:val="0"/>
        </w:rPr>
      </w:r>
    </w:p>
    <w:p w:rsidR="00000000" w:rsidDel="00000000" w:rsidP="00000000" w:rsidRDefault="00000000" w:rsidRPr="00000000" w14:paraId="0000001C">
      <w:pPr>
        <w:spacing w:after="0"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Mi-Qin (Tina) Chen</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pStyle w:val="Heading3"/>
        <w:spacing w:after="0" w:before="0" w:lineRule="auto"/>
        <w:rPr>
          <w:rFonts w:ascii="Times New Roman" w:cs="Times New Roman" w:eastAsia="Times New Roman" w:hAnsi="Times New Roman"/>
          <w:color w:val="000000"/>
          <w:sz w:val="24"/>
          <w:szCs w:val="24"/>
        </w:rPr>
      </w:pPr>
      <w:bookmarkStart w:colFirst="0" w:colLast="0" w:name="_18ek8lhnfml8" w:id="6"/>
      <w:bookmarkEnd w:id="6"/>
      <w:r w:rsidDel="00000000" w:rsidR="00000000" w:rsidRPr="00000000">
        <w:rPr>
          <w:rtl w:val="0"/>
        </w:rPr>
      </w:r>
    </w:p>
    <w:p w:rsidR="00000000" w:rsidDel="00000000" w:rsidP="00000000" w:rsidRDefault="00000000" w:rsidRPr="00000000" w14:paraId="00000023">
      <w:pPr>
        <w:pStyle w:val="Heading3"/>
        <w:spacing w:after="0" w:before="0" w:lineRule="auto"/>
        <w:rPr>
          <w:rFonts w:ascii="Times New Roman" w:cs="Times New Roman" w:eastAsia="Times New Roman" w:hAnsi="Times New Roman"/>
          <w:color w:val="000000"/>
          <w:sz w:val="24"/>
          <w:szCs w:val="24"/>
        </w:rPr>
      </w:pPr>
      <w:bookmarkStart w:colFirst="0" w:colLast="0" w:name="_r9dytfuawknw" w:id="7"/>
      <w:bookmarkEnd w:id="7"/>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pStyle w:val="Heading3"/>
        <w:spacing w:after="0" w:before="200" w:lineRule="auto"/>
        <w:rPr>
          <w:rFonts w:ascii="Times New Roman" w:cs="Times New Roman" w:eastAsia="Times New Roman" w:hAnsi="Times New Roman"/>
          <w:color w:val="000000"/>
          <w:sz w:val="24"/>
          <w:szCs w:val="24"/>
        </w:rPr>
      </w:pPr>
      <w:bookmarkStart w:colFirst="0" w:colLast="0" w:name="_f0oiym6gg86f" w:id="8"/>
      <w:bookmarkEnd w:id="8"/>
      <w:r w:rsidDel="00000000" w:rsidR="00000000" w:rsidRPr="00000000">
        <w:rPr>
          <w:rtl w:val="0"/>
        </w:rPr>
      </w:r>
    </w:p>
    <w:p w:rsidR="00000000" w:rsidDel="00000000" w:rsidP="00000000" w:rsidRDefault="00000000" w:rsidRPr="00000000" w14:paraId="00000026">
      <w:pPr>
        <w:ind w:firstLine="72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27">
      <w:pPr>
        <w:pStyle w:val="Heading3"/>
        <w:spacing w:after="0" w:before="200" w:lineRule="auto"/>
        <w:rPr/>
      </w:pPr>
      <w:bookmarkStart w:colFirst="0" w:colLast="0" w:name="_3ljyjrepsgrb" w:id="9"/>
      <w:bookmarkEnd w:id="9"/>
      <w:r w:rsidDel="00000000" w:rsidR="00000000" w:rsidRPr="00000000">
        <w:rPr>
          <w:rFonts w:ascii="Times New Roman" w:cs="Times New Roman" w:eastAsia="Times New Roman" w:hAnsi="Times New Roman"/>
          <w:color w:val="000000"/>
          <w:sz w:val="24"/>
          <w:szCs w:val="24"/>
          <w:rtl w:val="0"/>
        </w:rPr>
        <w:t xml:space="preserve">Chapter 1. Introduction Skeleton</w:t>
      </w:r>
      <w:r w:rsidDel="00000000" w:rsidR="00000000" w:rsidRPr="00000000">
        <w:rPr>
          <w:rtl w:val="0"/>
        </w:rPr>
      </w:r>
    </w:p>
    <w:p w:rsidR="00000000" w:rsidDel="00000000" w:rsidP="00000000" w:rsidRDefault="00000000" w:rsidRPr="00000000" w14:paraId="00000028">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Geopolitical competition is usually understood as a source of risk for financial markets. Rivalry among states can disrupt trade, restrict access to technology, raise uncertainty, increase compliance costs, and expose firms to sanctions, retaliation, or supply-chain shocks. In this conventional view, the expected market pathway is straightforward: geopolitical competition increases risk, and risk produces negative market reactions. Much of the existing literature on geopolitical risk, sanctions, export controls, and political uncertainty begins from this assumption. The assumption is often correct. Wars, diplomatic crises, trade restrictions, and coercive economic policies can destroy value and raise risk premia</w:t>
      </w:r>
      <w:r>
        <w:rPr>
          <w:rFonts w:ascii="Times New Roman" w:hAnsi="Times New Roman"/>
          <w:sz w:val="24"/>
        </w:rPr>
        <w:t xml:space="preserve"> (Caldara &amp; Iacoviello, 2022; Farrell &amp; Newman, 2019).</w:t>
      </w:r>
    </w:p>
    <w:p w:rsidR="00000000" w:rsidDel="00000000" w:rsidP="00000000" w:rsidRDefault="00000000" w:rsidRPr="00000000" w14:paraId="00000029">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Yet recent episodes of strategic industrial policy suggest that this risk-centered view is incomplete. The same geopolitical competition that threatens some firms may increase the strategic value of others. When governments identify particular firms, sectors, or technologies as essential to national security, technological leadership, or supply-chain resilience, they may respond with subsidies, tax credits, procurement commitments, financing, regulatory protection, or direct industrial-policy support. In those cases, financial markets may not interpret geopolitical competition only as danger. They may also interpret it as a signal that selected strategic firms are likely to receive state-backed support. The central puzzle of this dissertation is therefore not whether geopolitical competition creates risk. It clearly does. The puzzle is why some firms may experience positive market reactions when geopolitical competition is translated into credible state support</w:t>
      </w:r>
      <w:r>
        <w:rPr>
          <w:rFonts w:ascii="Times New Roman" w:hAnsi="Times New Roman"/>
          <w:sz w:val="24"/>
        </w:rPr>
        <w:t xml:space="preserve"> (Blackwill &amp; Harris, 2016; Mazzucato, 2013, 2021; Rodrik, 2004; Weiss, 2014).</w:t>
      </w:r>
    </w:p>
    <w:p w:rsidR="00000000" w:rsidDel="00000000" w:rsidP="00000000" w:rsidRDefault="00000000" w:rsidRPr="00000000" w14:paraId="0000002A">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dissertation asks: </w:t>
      </w:r>
      <w:r w:rsidDel="00000000" w:rsidR="00000000" w:rsidRPr="00000000">
        <w:rPr>
          <w:rFonts w:ascii="Times New Roman" w:cs="Times New Roman" w:eastAsia="Times New Roman" w:hAnsi="Times New Roman"/>
          <w:b w:val="1"/>
          <w:bCs w:val="1"/>
          <w:sz w:val="24"/>
          <w:szCs w:val="24"/>
          <w:rtl w:val="0"/>
        </w:rPr>
        <w:t xml:space="preserve">When does geopolitical competition generate positive market reactions for strategically important firms through expected state support?</w:t>
      </w:r>
      <w:r w:rsidDel="00000000" w:rsidR="00000000" w:rsidRPr="00000000">
        <w:rPr>
          <w:rFonts w:ascii="Times New Roman" w:cs="Times New Roman" w:eastAsia="Times New Roman" w:hAnsi="Times New Roman"/>
          <w:sz w:val="24"/>
          <w:szCs w:val="24"/>
          <w:rtl w:val="0"/>
        </w:rPr>
        <w:t xml:space="preserve"> The question shifts attention from aggregate geopolitical risk to firm-level investor interpretation. Rather than asking whether geopolitical competition is good or bad for markets in general, the dissertation asks when investors distinguish between threat exposure and state-backed opportunity. This distinction matters because geopolitical competition can produce heterogeneous market effects. A restriction may harm directly exposed firms while benefiting substitutes. A strategic subsidy may signal future cash flows for a named beneficiary while doing little for the broader market. A policy event may therefore contain both a threat signal and an opportunity signal. </w:t>
      </w:r>
    </w:p>
    <w:p w:rsidR="00000000" w:rsidDel="00000000" w:rsidP="00000000" w:rsidRDefault="00000000" w:rsidRPr="00000000" w14:paraId="0000002B">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This project builds on, but also departs from, several bodies of literature. The geopolitical risk literature explains how conflict, uncertainty, and political shocks affect financial markets, but it tends to emphasise downside risk. The economic statecraft and geoeconomics literature show how states use market instruments for strategic purposes, but they often focus on state behaviour, coercion, or target costs rather than investor interpretation. The industrial-policy literature explains why governments support strategic sectors, but it is usually more concerned with policy design, welfare, rents, or long-run competitiveness than short-window market reactions. Finally, the event-study literature offers tools for measuring market responses to policy announcements, but it often treats geopolitical events as risk shocks rather than mixed signals. The gap this dissertation addresses lies at the intersection of these literatures: how markets price credible state support for strategically important firms under geopolitical competition</w:t>
      </w:r>
      <w:r>
        <w:rPr>
          <w:rFonts w:ascii="Times New Roman" w:hAnsi="Times New Roman"/>
          <w:sz w:val="24"/>
        </w:rPr>
        <w:t xml:space="preserve"> (Baldwin, 1985; Brown &amp; Warner, 1985; MacKinlay, 1997; Rodrik, 2004).</w:t>
      </w:r>
    </w:p>
    <w:p w:rsidR="00000000" w:rsidDel="00000000" w:rsidP="00000000" w:rsidRDefault="00000000" w:rsidRPr="00000000" w14:paraId="0000002C">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core argument is that geopolitical competition can generate positive market reactions when it increases the strategic importance of particular firms or sectors and when that strategic importance is converted into credible state support. Strategic importance alone is not sufficient. A firm can be strategically important and still face export restrictions, lost market access, political interference, or costly compliance burdens. The key mechanism is state support. When governments provide or credibly signal subsidies, loans, tax credits, procurement, protection, or capacity support, investors may update expectations about future cash flows or downside risk. Positive market reactions should therefore be most likely when support is direct, credible, material, and linked to identifiable beneficiaries</w:t>
      </w:r>
      <w:r>
        <w:rPr>
          <w:rFonts w:ascii="Times New Roman" w:hAnsi="Times New Roman"/>
          <w:sz w:val="24"/>
        </w:rPr>
        <w:t xml:space="preserve"> (Block &amp; Keller, 2011; Fama, 1970; Fama et al., 1969; Mazzucato, 2013, 2021).</w:t>
      </w:r>
    </w:p>
    <w:p w:rsidR="00000000" w:rsidDel="00000000" w:rsidP="00000000" w:rsidRDefault="00000000" w:rsidRPr="00000000" w14:paraId="0000002D">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dissertation tests this argument through a focused event-study design. The empirical setting is semiconductor industrial policy, especially direct named support announcements under the CHIPS Act. Semiconductors are a strong setting for the test because they are central to contemporary geopolitical competition, widely recognised as strategically important, and represented by publicly traded firms and sector benchmarks. The main empirical analysis focuses on three frozen core events: Intel’s CHIPS Act preliminary terms announcement, TSMC Arizona’s CHIPS Act preliminary terms announcement, and Micron’s CHIPS Act preliminary agreement. The primary outcome is sector-adjusted cumulative abnormal return over the [-1,+1] event window, using </w:t>
      </w:r>
      <w:r w:rsidDel="00000000" w:rsidR="00000000" w:rsidRPr="00000000">
        <w:rPr>
          <w:rFonts w:ascii="Times New Roman" w:cs="Times New Roman" w:eastAsia="Times New Roman" w:hAnsi="Times New Roman"/>
          <w:sz w:val="24"/>
          <w:szCs w:val="24"/>
          <w:rtl w:val="0"/>
        </w:rPr>
        <w:t xml:space="preserve">car_sector_m1_p1</w:t>
      </w:r>
      <w:r w:rsidDel="00000000" w:rsidR="00000000" w:rsidRPr="00000000">
        <w:rPr>
          <w:rFonts w:ascii="Times New Roman" w:cs="Times New Roman" w:eastAsia="Times New Roman" w:hAnsi="Times New Roman"/>
          <w:sz w:val="24"/>
          <w:szCs w:val="24"/>
          <w:rtl w:val="0"/>
        </w:rPr>
        <w:t>. The design compares named beneficiaries against semiconductor-sector benchmarks, with broader market and technology benchmarks used as secondary comparisons</w:t>
      </w:r>
      <w:r>
        <w:rPr>
          <w:rFonts w:ascii="Times New Roman" w:hAnsi="Times New Roman"/>
          <w:sz w:val="24"/>
        </w:rPr>
        <w:t xml:space="preserve"> (Brown &amp; Warner, 1985; Fama, 1970; MacKinlay, 1997).</w:t>
      </w:r>
    </w:p>
    <w:p w:rsidR="00000000" w:rsidDel="00000000" w:rsidP="00000000" w:rsidRDefault="00000000" w:rsidRPr="00000000" w14:paraId="0000002E">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This empirical strategy is intentionally modest. It does not claim to estimate the full causal effect of geopolitical competition. Nor does it claim that state support always increases firm value. Instead, it tests a pre-specified implication of the theory: if credible state support is the mechanism through which geopolitical competition becomes market opportunity, then named beneficiaries of direct strategic support should show positive short-window reactions relative to the semiconductor sector. A positive reaction only relative to the broad market, but not relative to the semiconductor benchmark, would be weak evidence. A negative sector-adjusted reaction would weaken the theory for the main sample</w:t>
      </w:r>
      <w:r>
        <w:rPr>
          <w:rFonts w:ascii="Times New Roman" w:hAnsi="Times New Roman"/>
          <w:sz w:val="24"/>
        </w:rPr>
        <w:t xml:space="preserve"> (Gelman &amp; Loken, 2014; Nosek et al., 2018; Simmons et al., 2011).</w:t>
      </w:r>
    </w:p>
    <w:p w:rsidR="00000000" w:rsidDel="00000000" w:rsidP="00000000" w:rsidRDefault="00000000" w:rsidRPr="00000000" w14:paraId="0000002F">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dissertation contributes to the political economy in three ways. First, it refines the study of geopolitical risk by distinguishing aggregate risk from firm-level opportunity under state support. Second, it connects geoeconomics and industrial policy to financial-market interpretation, showing how strategic policy announcements may be priced by investors. Third, it offers a transparent research design for studying mixed geopolitical signals without treating all geopolitical competition as uniformly negative or positive. The contribution is theoretical and empirical, but deliberately bounded: the dissertation develops and tests a mechanism, not a general law of geopolitical markets</w:t>
      </w:r>
      <w:r>
        <w:rPr>
          <w:rFonts w:ascii="Times New Roman" w:hAnsi="Times New Roman"/>
          <w:sz w:val="24"/>
        </w:rPr>
        <w:t xml:space="preserve"> (Baldwin, 1985; Blackwill &amp; Harris, 2016; Caldara &amp; Iacoviello, 2022; Rodrik, 2004).</w:t>
      </w:r>
    </w:p>
    <w:p w:rsidR="00000000" w:rsidDel="00000000" w:rsidP="00000000" w:rsidRDefault="00000000" w:rsidRPr="00000000" w14:paraId="00000030">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scope conditions are central to the argument. The theory should apply most strongly in strategic industries where governments have clear security, resilience, or technological-leadership concerns and where state support is credible and market-relevant. Semiconductors are therefore an appropriate first test. The argument may also travel to defense production, energy security, AI infrastructure, critical minerals, telecommunications, and supply-chain chokepoints. It should not be expected to apply to broad market indices during major crises, firms that receive no credible support, symbolic policy statements, fully anticipated announcements, or cases where support imposes costs that outweigh benefits</w:t>
      </w:r>
      <w:r>
        <w:rPr>
          <w:rFonts w:ascii="Times New Roman" w:hAnsi="Times New Roman"/>
          <w:sz w:val="24"/>
        </w:rPr>
        <w:t xml:space="preserve"> (Amsden, 2001; Chang, 2002; Mazzucato, 2013, 2021; Weiss, 2014).</w:t>
      </w:r>
    </w:p>
    <w:p w:rsidR="00000000" w:rsidDel="00000000" w:rsidP="00000000" w:rsidRDefault="00000000" w:rsidRPr="00000000" w14:paraId="00000031">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remainder of the dissertation proceeds as follows. Chapter 2 reviews the relevant literature on geopolitical risk, economic statecraft, geoeconomics, industrial policy, financial-market reactions, and investor interpretation. Chapter 3 develops the theory of state-backed opportunity under geopolitical competition and presents the hypotheses. Chapter 4 explains the research design, event-selection rules, data structure, outcome measures, and identification challenges. Chapter 5 presents the event-study results for the frozen core sample and classifies each event as supportive, weak, null, or theory-weakening evidence. Chapter 6 discusses </w:t>
      </w:r>
      <w:r w:rsidDel="00000000" w:rsidR="00000000" w:rsidRPr="00000000">
        <w:rPr>
          <w:rFonts w:ascii="Times New Roman" w:cs="Times New Roman" w:eastAsia="Times New Roman" w:hAnsi="Times New Roman"/>
          <w:sz w:val="24"/>
          <w:szCs w:val="24"/>
          <w:rtl w:val="0"/>
        </w:rPr>
        <w:t xml:space="preserve">the implications, limitations, and conditions under which the State Support mechanism may travel beyond the semiconductor case.</w:t>
      </w:r>
    </w:p>
    <w:p w:rsidR="00000000" w:rsidDel="00000000" w:rsidP="00000000" w:rsidRDefault="00000000" w:rsidRPr="00000000" w14:paraId="00000032">
      <w:pPr>
        <w:pStyle w:val="Heading3"/>
        <w:spacing w:after="80" w:lineRule="auto"/>
        <w:rPr>
          <w:rFonts w:ascii="Times New Roman" w:cs="Times New Roman" w:eastAsia="Times New Roman" w:hAnsi="Times New Roman"/>
          <w:color w:val="000000"/>
          <w:sz w:val="24"/>
          <w:szCs w:val="24"/>
        </w:rPr>
      </w:pPr>
      <w:bookmarkStart w:colFirst="0" w:colLast="0" w:name="_ysh9c4t35s5q" w:id="10"/>
      <w:bookmarkEnd w:id="10"/>
      <w:r w:rsidDel="00000000" w:rsidR="00000000" w:rsidRPr="00000000">
        <w:rPr>
          <w:rFonts w:ascii="Times New Roman" w:cs="Times New Roman" w:eastAsia="Times New Roman" w:hAnsi="Times New Roman"/>
          <w:color w:val="000000"/>
          <w:sz w:val="24"/>
          <w:szCs w:val="24"/>
          <w:rtl w:val="0"/>
        </w:rPr>
        <w:t xml:space="preserve">Chapter 2. Literature Review Skeleton</w:t>
      </w:r>
    </w:p>
    <w:p w:rsidR="00000000" w:rsidDel="00000000" w:rsidP="00000000" w:rsidRDefault="00000000" w:rsidRPr="00000000" w14:paraId="00000033">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Chapter 2 should not be read as a catalogue of literature. Its purpose is to show why existing research explains parts of the dissertation’s causal chain, but not the full sequence linking geopolitical competition to positive market reactions through credible state support. The chapter should be organised around the missing link: geopolitical competition -&gt; strategic importance -&gt; state support -&gt; investor interpretation -&gt; market reaction. The central claim of the literature review is that existing scholarship has strong accounts of geopolitical risk, economic statecraft, industrial policy, and market reactions, but these accounts are usually developed separately. The dissertation contributes by connecting them into a focused mechanism: markets may price geopolitical competition positively when strategically important firms become expected recipients of credible state support.</w:t>
      </w:r>
    </w:p>
    <w:p w:rsidR="00000000" w:rsidDel="00000000" w:rsidP="00000000" w:rsidRDefault="00000000" w:rsidRPr="00000000" w14:paraId="00000034">
      <w:pPr>
        <w:pStyle w:val="Heading4"/>
        <w:spacing w:after="0" w:before="280" w:lineRule="auto"/>
        <w:rPr>
          <w:rFonts w:ascii="Times New Roman" w:cs="Times New Roman" w:eastAsia="Times New Roman" w:hAnsi="Times New Roman"/>
          <w:color w:val="000000"/>
        </w:rPr>
      </w:pPr>
      <w:bookmarkStart w:colFirst="0" w:colLast="0" w:name="_skdb68g1n545" w:id="11"/>
      <w:bookmarkEnd w:id="11"/>
      <w:r w:rsidDel="00000000" w:rsidR="00000000" w:rsidRPr="00000000">
        <w:rPr>
          <w:rFonts w:ascii="Times New Roman" w:cs="Times New Roman" w:eastAsia="Times New Roman" w:hAnsi="Times New Roman"/>
          <w:color w:val="000000"/>
          <w:rtl w:val="0"/>
        </w:rPr>
        <w:t xml:space="preserve">2.1 Geopolitical Risk and Financial Markets</w:t>
      </w:r>
    </w:p>
    <w:p w:rsidR="00000000" w:rsidDel="00000000" w:rsidP="00000000" w:rsidRDefault="00000000" w:rsidRPr="00000000" w14:paraId="00000035">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starting point for this dissertation is the conventional expectation that geopolitical competition increases risk for financial markets. Geopolitical conflict, strategic rivalry, sanctions, war risk, export controls, and policy uncertainty can all alter investor expectations about future cash flows, discount rates, supply-chain stability, and market access. In this view, geopolitical competition is primarily a source of uncertainty and downside risk.</w:t>
      </w:r>
    </w:p>
    <w:p w:rsidR="00000000" w:rsidDel="00000000" w:rsidP="00000000" w:rsidRDefault="00000000" w:rsidRPr="00000000" w14:paraId="00000036">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Caldara and Iacoviello (2022) provide one of the most influential recent measures of geopolitical risk. Their work conceptualizes geopolitical risk as the threat, realization, and escalation of adverse geopolitical events, including war, terrorism, and international tensions. The key implication for financial markets is that geopolitical risk raises uncertainty and can affect investment, asset prices, and macroeconomic expectations. This literature helps establish the baseline expectation against which this dissertation is framed: geopolitical competition is usually expected to harm markets or raise risk premia rather than create opportunity.</w:t>
      </w:r>
    </w:p>
    <w:p w:rsidR="00000000" w:rsidDel="00000000" w:rsidP="00000000" w:rsidRDefault="00000000" w:rsidRPr="00000000" w14:paraId="00000037">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Financial-market theory provides the mechanism through which information about geopolitical risk can be reflected in prices. In efficient-market accounts, security prices adjust to new information as investors update expectations about future returns and risks (Fama, 1970; Fama et al., 1969). If geopolitical events increase uncertainty, reduce future revenues, raise costs, or restrict market access, prices should react accordingly. Behavioral finance complicates this account by emphasizing that investor interpretation may be shaped by sentiment, narratives, and departures from strict efficiency (Shiller, 2003). Nevertheless, both efficient-market and behavioral perspectives treat financial-market reactions as informative about how investors interpret new events.</w:t>
      </w:r>
    </w:p>
    <w:p w:rsidR="00000000" w:rsidDel="00000000" w:rsidP="00000000" w:rsidRDefault="00000000" w:rsidRPr="00000000" w14:paraId="00000038">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geopolitical risk literature is therefore useful for this dissertation because it establishes the dominant risk pathway: geopolitical competition produces uncertainty, and markets respond to that uncertainty. However, this literature is less developed in explaining cases where geopolitical competition may produce positive market reactions for selected firms. A geopolitical event can harm some actors while benefiting others. Aggregate risk measures may capture broad uncertainty, but they are less suited to explaining cross-sectional differences among firms exposed to the same geopolitical environment</w:t>
      </w:r>
      <w:r>
        <w:rPr>
          <w:rFonts w:ascii="Times New Roman" w:hAnsi="Times New Roman"/>
          <w:sz w:val="24"/>
        </w:rPr>
        <w:t xml:space="preserve"> (Caldara &amp; Iacoviello, 2022; Fama, 1970).</w:t>
      </w:r>
    </w:p>
    <w:p w:rsidR="00000000" w:rsidDel="00000000" w:rsidP="00000000" w:rsidRDefault="00000000" w:rsidRPr="00000000" w14:paraId="00000039">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This limitation is central to the dissertation. The project does not reject the geopolitical risk perspective. Instead, it asks when a second pathway may operate alongside it. Geopolitical competition may increase uncertainty in general, but it may also make particular firms or sectors strategically important to governments. If governments respond with credible support, investors may interpret the same geopolitical environment as an opportunity for selected actors. The literature on geopolitical risk explains the negative pathway well, but it does not fully explain how geopolitical competition can become state-backed opportunity for specific firms</w:t>
      </w:r>
      <w:r w:rsidDel="00000000" w:rsidR="00000000" w:rsidRPr="00000000">
        <w:rPr>
          <w:rtl w:val="0"/>
        </w:rPr>
      </w:r>
      <w:r>
        <w:rPr>
          <w:rFonts w:ascii="Times New Roman" w:hAnsi="Times New Roman"/>
          <w:sz w:val="24"/>
        </w:rPr>
        <w:t xml:space="preserve"> (Baldwin, 1985; Mazzucato, 2013, 2021; Rodrik, 2004).</w:t>
      </w:r>
    </w:p>
    <w:p w:rsidR="00000000" w:rsidDel="00000000" w:rsidP="00000000" w:rsidRDefault="00000000" w:rsidRPr="00000000" w14:paraId="0000003A">
      <w:pPr>
        <w:pStyle w:val="Heading4"/>
        <w:spacing w:after="0" w:before="280" w:lineRule="auto"/>
        <w:rPr>
          <w:rFonts w:ascii="Times New Roman" w:cs="Times New Roman" w:eastAsia="Times New Roman" w:hAnsi="Times New Roman"/>
          <w:color w:val="000000"/>
        </w:rPr>
      </w:pPr>
      <w:bookmarkStart w:colFirst="0" w:colLast="0" w:name="_1750tb2sqyj1" w:id="12"/>
      <w:bookmarkEnd w:id="12"/>
      <w:r w:rsidDel="00000000" w:rsidR="00000000" w:rsidRPr="00000000">
        <w:rPr>
          <w:rFonts w:ascii="Times New Roman" w:cs="Times New Roman" w:eastAsia="Times New Roman" w:hAnsi="Times New Roman"/>
          <w:color w:val="000000"/>
          <w:rtl w:val="0"/>
        </w:rPr>
        <w:t xml:space="preserve">2.2 Economic Statecraft and Geoeconomics</w:t>
      </w:r>
    </w:p>
    <w:p w:rsidR="00000000" w:rsidDel="00000000" w:rsidP="00000000" w:rsidRDefault="00000000" w:rsidRPr="00000000" w14:paraId="0000003B">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second literature examines the use of economic tools for strategic political purposes. This work shifts attention from markets as passive arenas of risk to markets as instruments of state power. Economic statecraft refers to the use of economic resources, sanctions, trade controls, finance, and market access to pursue political objectives (Baldwin, 1985). Geoeconomics similarly emphasizes the use of economic instruments to achieve geopolitical goals (Blackwill &amp; Harris, 2016; Luttwak, 1990). These literatures are central to understanding why geopolitical competition increasingly appears through market-facing policy instruments.</w:t>
      </w:r>
    </w:p>
    <w:p w:rsidR="00000000" w:rsidDel="00000000" w:rsidP="00000000" w:rsidRDefault="00000000" w:rsidRPr="00000000" w14:paraId="0000003C">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Classic work on economic power highlights how trade and interdependence can create vulnerability. Hirschman (1980) argued that patterns of foreign trade can generate political influence because states and firms become dependent on external markets and suppliers. Contemporary work extends this logic to global networks. Farrell and Newman (2019) argue that states occupying central positions in global economic networks can weaponize interdependence by using chokepoints in finance, information, and supply chains. Their later work develops this argument in relation to American power and the global economic infrastructure through which it operates (Farrell &amp; Newman, 2023).</w:t>
      </w:r>
    </w:p>
    <w:p w:rsidR="00000000" w:rsidDel="00000000" w:rsidP="00000000" w:rsidRDefault="00000000" w:rsidRPr="00000000" w14:paraId="0000003D">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literature is useful because it demonstrates that geopolitical competition is not limited to military threats or diplomatic conflict. It is increasingly conducted through export controls, sanctions, investment restrictions, industrial policy, technological standards, and supply-chain governance. Economic networks can become strategic terrain, and states can use market structures to pursue geopolitical goals.</w:t>
      </w:r>
    </w:p>
    <w:p w:rsidR="00000000" w:rsidDel="00000000" w:rsidP="00000000" w:rsidRDefault="00000000" w:rsidRPr="00000000" w14:paraId="0000003E">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However, the economic statecraft and geoeconomics literatures tend to focus on state behavior, coercive capacity, and target vulnerability. They explain how states use economic tools and how interdependence can be weaponized. They are less focused on how investors price the beneficiaries of state action. A sanction, export control, or subsidy may impose costs on some firms while creating opportunities for others. The literature explains why states act, but less often explains how markets distinguish between threatened firms and supported firms</w:t>
      </w:r>
      <w:r>
        <w:rPr>
          <w:rFonts w:ascii="Times New Roman" w:hAnsi="Times New Roman"/>
          <w:sz w:val="24"/>
        </w:rPr>
        <w:t xml:space="preserve"> (Baldwin, 1985; Farrell &amp; Newman, 2019, 2023).</w:t>
      </w:r>
    </w:p>
    <w:p w:rsidR="00000000" w:rsidDel="00000000" w:rsidP="00000000" w:rsidRDefault="00000000" w:rsidRPr="00000000" w14:paraId="0000003F">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This dissertation builds on the economic statecraft literature by treating state action as central to the market reaction. The relevant empirical events are not generic geopolitical tensions; they are policy actions linked to strategic sectors. The dissertation’s mechanism, however, is narrower than geoeconomics as a whole. It focuses specifically on state support for strategically important firms and asks whether investors interpret that support as valuation-relevant. In doing so, it connects economic statecraft to financial-market reaction</w:t>
      </w:r>
      <w:r w:rsidDel="00000000" w:rsidR="00000000" w:rsidRPr="00000000">
        <w:rPr>
          <w:rtl w:val="0"/>
        </w:rPr>
      </w:r>
      <w:r>
        <w:rPr>
          <w:rFonts w:ascii="Times New Roman" w:hAnsi="Times New Roman"/>
          <w:sz w:val="24"/>
        </w:rPr>
        <w:t xml:space="preserve"> (Baldwin, 1985; Blackwill &amp; Harris, 2016; Fama, 1970).</w:t>
      </w:r>
    </w:p>
    <w:p w:rsidR="00000000" w:rsidDel="00000000" w:rsidP="00000000" w:rsidRDefault="00000000" w:rsidRPr="00000000" w14:paraId="00000040">
      <w:pPr>
        <w:pStyle w:val="Heading4"/>
        <w:spacing w:after="0" w:before="280" w:lineRule="auto"/>
        <w:rPr>
          <w:rFonts w:ascii="Times New Roman" w:cs="Times New Roman" w:eastAsia="Times New Roman" w:hAnsi="Times New Roman"/>
          <w:color w:val="000000"/>
        </w:rPr>
      </w:pPr>
      <w:bookmarkStart w:colFirst="0" w:colLast="0" w:name="_q0nenbxn15xj" w:id="13"/>
      <w:bookmarkEnd w:id="13"/>
      <w:r w:rsidDel="00000000" w:rsidR="00000000" w:rsidRPr="00000000">
        <w:rPr>
          <w:rFonts w:ascii="Times New Roman" w:cs="Times New Roman" w:eastAsia="Times New Roman" w:hAnsi="Times New Roman"/>
          <w:color w:val="000000"/>
          <w:rtl w:val="0"/>
        </w:rPr>
        <w:t xml:space="preserve">2.3 Strategic Importance and Critical Industries</w:t>
      </w:r>
    </w:p>
    <w:p w:rsidR="00000000" w:rsidDel="00000000" w:rsidP="00000000" w:rsidRDefault="00000000" w:rsidRPr="00000000" w14:paraId="00000041">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third body of literature concerns strategic industries and the role of the state in shaping technologically important sectors. Developmental state and industrial policy scholarship has long argued that states can identify, promote, and protect sectors viewed as central to national development and competitiveness. Amsden (2001), Johnson (1982), Wade (1990), and Chang (2002) all challenge purely market-led accounts of industrial transformation by emphasizing the role of state coordination, protection, discipline, and support in late industrialization.</w:t>
      </w:r>
    </w:p>
    <w:p w:rsidR="00000000" w:rsidDel="00000000" w:rsidP="00000000" w:rsidRDefault="00000000" w:rsidRPr="00000000" w14:paraId="00000042">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literature establishes that some sectors are treated differently because they are viewed as strategically important. States may prioritize industries that contribute to technological upgrading, national competitiveness, security, or future productive capacity. Strategic importance can therefore shape policy attention and resource allocation. Gerschenkron (1962) similarly emphasizes the role of institutional and state-led arrangements in late industrialization, particularly where private markets alone may not generate the desired scale or pace of development.</w:t>
      </w:r>
    </w:p>
    <w:p w:rsidR="00000000" w:rsidDel="00000000" w:rsidP="00000000" w:rsidRDefault="00000000" w:rsidRPr="00000000" w14:paraId="00000043">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 recent work on innovation and the national security state extends this argument to advanced technology sectors. Block and Keller (2011) emphasise the U.S. government’s role in technology development, showing that public agencies and state-backed programs have contributed to innovation in ways often underrecognized in market-centered narratives. Weiss (2014) similarly argues that the American state has played a significant role in national-security-linked innovation and enterprise. Mazzucato (2013, 2021) develops a related argument about the entrepreneurial and mission-oriented state, emphasizing that public institutions can shape innovation trajectories and create markets rather than merely correct market failures.</w:t>
      </w:r>
    </w:p>
    <w:p w:rsidR="00000000" w:rsidDel="00000000" w:rsidP="00000000" w:rsidRDefault="00000000" w:rsidRPr="00000000" w14:paraId="00000044">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literatures are important for this dissertation because they explain why governments may treat semiconductor firms and related technologies as strategically important. Strategic industries are not simply large industries. They are sectors whose capabilities are tied to security, resilience, technological leadership, and future economic position. In this sense, strategic importance is a political-economic status, not merely a commercial characteristic.</w:t>
      </w:r>
    </w:p>
    <w:p w:rsidR="00000000" w:rsidDel="00000000" w:rsidP="00000000" w:rsidRDefault="00000000" w:rsidRPr="00000000" w14:paraId="00000045">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At the same time, this literature does not by itself explain short-window financial-market reactions. Developmental state and industrial policy scholarship often focuses on long-run structural transformation, technological upgrading, institutional capacity, or national competitiveness. Those outcomes differ from the dissertation’s outcome of interest: immediate investor reaction around policy events. A sector may be strategically important over the long run, but that does not mean a specific announcement will generate a positive abnormal return for a named firm</w:t>
      </w:r>
      <w:r>
        <w:rPr>
          <w:rFonts w:ascii="Times New Roman" w:hAnsi="Times New Roman"/>
          <w:sz w:val="24"/>
        </w:rPr>
        <w:t xml:space="preserve"> (Brown &amp; Warner, 1985; MacKinlay, 1997).</w:t>
      </w:r>
    </w:p>
    <w:p w:rsidR="00000000" w:rsidDel="00000000" w:rsidP="00000000" w:rsidRDefault="00000000" w:rsidRPr="00000000" w14:paraId="00000046">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This limitation motivates the dissertation’s theoretical distinction between Strategic Importance and State Support. Strategic Importance is a scope condition. It identifies where states are likely to intervene. It does not itself produce the market outcome. For market reactions, the question is whether strategic importance is converted into credible state support and whether investors interpret that support as affecting expected cash flows or downside risk</w:t>
      </w:r>
      <w:r w:rsidDel="00000000" w:rsidR="00000000" w:rsidRPr="00000000">
        <w:rPr>
          <w:rtl w:val="0"/>
        </w:rPr>
      </w:r>
      <w:r>
        <w:rPr>
          <w:rFonts w:ascii="Times New Roman" w:hAnsi="Times New Roman"/>
          <w:sz w:val="24"/>
        </w:rPr>
        <w:t xml:space="preserve"> (Rodrik, 2004; Fama, 1970).</w:t>
      </w:r>
    </w:p>
    <w:p w:rsidR="00000000" w:rsidDel="00000000" w:rsidP="00000000" w:rsidRDefault="00000000" w:rsidRPr="00000000" w14:paraId="00000047">
      <w:pPr>
        <w:pStyle w:val="Heading4"/>
        <w:spacing w:after="0" w:before="280" w:lineRule="auto"/>
        <w:rPr>
          <w:rFonts w:ascii="Times New Roman" w:cs="Times New Roman" w:eastAsia="Times New Roman" w:hAnsi="Times New Roman"/>
          <w:color w:val="000000"/>
        </w:rPr>
      </w:pPr>
      <w:bookmarkStart w:colFirst="0" w:colLast="0" w:name="_m3bb5nrj34h5" w:id="14"/>
      <w:bookmarkEnd w:id="14"/>
      <w:r w:rsidDel="00000000" w:rsidR="00000000" w:rsidRPr="00000000">
        <w:rPr>
          <w:rFonts w:ascii="Times New Roman" w:cs="Times New Roman" w:eastAsia="Times New Roman" w:hAnsi="Times New Roman"/>
          <w:color w:val="000000"/>
          <w:rtl w:val="0"/>
        </w:rPr>
        <w:t xml:space="preserve">2.4 Strategic Trade and Industrial Policy</w:t>
      </w:r>
    </w:p>
    <w:p w:rsidR="00000000" w:rsidDel="00000000" w:rsidP="00000000" w:rsidRDefault="00000000" w:rsidRPr="00000000" w14:paraId="00000048">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industrial policy literature provides the closest foundation for the State Support mechanism. Industrial policy involves government efforts to shape sectoral development, investment, technology, and productive capacity. Rodrik (2004) argues that industrial policy should be understood as a process of strategic collaboration between public and private actors, rather than simply as top-down picking winners. This view emphasizes discovery, coordination, and the correction of market failures that inhibit productive transformation.</w:t>
      </w:r>
    </w:p>
    <w:p w:rsidR="00000000" w:rsidDel="00000000" w:rsidP="00000000" w:rsidRDefault="00000000" w:rsidRPr="00000000" w14:paraId="00000049">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Historical and comparative scholarship shows that industrial policy has often been central to late development and strategic upgrading. Amsden (2001), Chang (2002), Johnson (1982), Wade (1990), and Evans (1995) all emphasize different forms of state involvement in industrial transformation. Some accounts focus on discipline and performance requirements; others emphasize embedded autonomy, institutional capacity, or state-business coordination. Together, they challenge the idea that advanced industries emerge only from decentralized market allocation.</w:t>
      </w:r>
    </w:p>
    <w:p w:rsidR="00000000" w:rsidDel="00000000" w:rsidP="00000000" w:rsidRDefault="00000000" w:rsidRPr="00000000" w14:paraId="0000004A">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state-support literature is particularly relevant for sectors where private investment may be insufficient relative to strategic or social objectives. Semiconductors, defense technologies, critical infrastructure, and advanced manufacturing often require large capital expenditures, long time horizons, and coordination across firms and supply chains. Public support can alter investment incentives through subsidies, loans, procurement, tax credits, guarantees, protection, and capacity commitments. Mazzucato (2013, 2021), Weiss (2014), and Block and Keller (2011) emphasize that public institutions can play an active role in innovation and strategic technology development.</w:t>
      </w:r>
    </w:p>
    <w:p w:rsidR="00000000" w:rsidDel="00000000" w:rsidP="00000000" w:rsidRDefault="00000000" w:rsidRPr="00000000" w14:paraId="0000004B">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However, the industrial policy literature often evaluates different outcomes from those examined here. It frequently asks whether policy improves productivity, supports technological upgrading, builds national capacity, or succeeds over the long term. This dissertation asks a narrower question: whether investors price state support as market opportunity in the short run. A subsidy may be strategically important and still fail to generate a positive abnormal return. Conversely, a positive market reaction does not prove that the policy is socially efficient or successful over time</w:t>
      </w:r>
      <w:r>
        <w:rPr>
          <w:rFonts w:ascii="Times New Roman" w:hAnsi="Times New Roman"/>
          <w:sz w:val="24"/>
        </w:rPr>
        <w:t xml:space="preserve"> (Brown &amp; Warner, 1985; Kothari &amp; Warner, 2007; MacKinlay, 1997).</w:t>
      </w:r>
    </w:p>
    <w:p w:rsidR="00000000" w:rsidDel="00000000" w:rsidP="00000000" w:rsidRDefault="00000000" w:rsidRPr="00000000" w14:paraId="0000004C">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This distinction is essential. The dissertation does not claim that state support is always beneficial, nor that industrial policy is always effective. It treats state support as a market signal. If support is credible, material, and attached to a visible beneficiary, investors may update expectations about future cash flows, protected demand, capital costs, or downside risk. The industrial policy literature explains why states provide support and why strategic sectors receive attention. The dissertation extends this logic to investor interpretation and financial-market reaction</w:t>
      </w:r>
      <w:r w:rsidDel="00000000" w:rsidR="00000000" w:rsidRPr="00000000">
        <w:rPr>
          <w:rtl w:val="0"/>
        </w:rPr>
      </w:r>
      <w:r>
        <w:rPr>
          <w:rFonts w:ascii="Times New Roman" w:hAnsi="Times New Roman"/>
          <w:sz w:val="24"/>
        </w:rPr>
        <w:t xml:space="preserve"> (Fama, 1970; Mazzucato, 2013, 2021; Rodrik, 2004).</w:t>
      </w:r>
    </w:p>
    <w:p w:rsidR="00000000" w:rsidDel="00000000" w:rsidP="00000000" w:rsidRDefault="00000000" w:rsidRPr="00000000" w14:paraId="0000004D">
      <w:pPr>
        <w:pStyle w:val="Heading4"/>
        <w:spacing w:after="0" w:before="280" w:lineRule="auto"/>
        <w:rPr>
          <w:rFonts w:ascii="Times New Roman" w:cs="Times New Roman" w:eastAsia="Times New Roman" w:hAnsi="Times New Roman"/>
          <w:color w:val="000000"/>
        </w:rPr>
      </w:pPr>
      <w:bookmarkStart w:colFirst="0" w:colLast="0" w:name="_m78p97jbs8tl" w:id="15"/>
      <w:bookmarkEnd w:id="15"/>
      <w:r w:rsidDel="00000000" w:rsidR="00000000" w:rsidRPr="00000000">
        <w:rPr>
          <w:rFonts w:ascii="Times New Roman" w:cs="Times New Roman" w:eastAsia="Times New Roman" w:hAnsi="Times New Roman"/>
          <w:color w:val="000000"/>
          <w:rtl w:val="0"/>
        </w:rPr>
        <w:t xml:space="preserve">2.5 Financial Market Reactions and Event Studies</w:t>
      </w:r>
    </w:p>
    <w:p w:rsidR="00000000" w:rsidDel="00000000" w:rsidP="00000000" w:rsidRDefault="00000000" w:rsidRPr="00000000" w14:paraId="0000004E">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dissertation’s empirical design draws on the event-study tradition in finance. Event studies examine how security prices respond to new information around identifiable events. The foundational assumption is that, under sufficiently efficient markets, prices incorporate new information about expected future cash flows and risk (Fama, 1970; Fama et al., 1969). Event studies therefore use short-window abnormal returns to infer how investors interpret an event.</w:t>
      </w:r>
    </w:p>
    <w:p w:rsidR="00000000" w:rsidDel="00000000" w:rsidP="00000000" w:rsidRDefault="00000000" w:rsidRPr="00000000" w14:paraId="0000004F">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Fama et al. (1969) provide an early demonstration of how stock prices adjust to information, while Fama (1970) systematizes the efficient-market framework. These works support the basic premise that market prices can be used to study information effects. Later methodological work develops event-study tools more explicitly. Brown and Warner (1985) examine the use of daily stock returns in event studies and show that event-study methods can be effective with daily data. MacKinlay (1997) provides a standard overview of event-study methodology, including abnormal returns, event windows, and statistical issues. Campbell et al. (1997) and Kothari and Warner (2007) further situate event studies within financial econometrics and empirical corporate finance.</w:t>
      </w:r>
    </w:p>
    <w:p w:rsidR="00000000" w:rsidDel="00000000" w:rsidP="00000000" w:rsidRDefault="00000000" w:rsidRPr="00000000" w14:paraId="00000050">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literature is central to Chapter 4. The dissertation uses event-study logic to examine whether investors react positively to named state-support announcements. The method is appropriate because the empirical question concerns market expectations around discrete announcements. The relevant outcome is not long-run performance but short-window abnormal return.</w:t>
      </w:r>
    </w:p>
    <w:p w:rsidR="00000000" w:rsidDel="00000000" w:rsidP="00000000" w:rsidRDefault="00000000" w:rsidRPr="00000000" w14:paraId="00000051">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event-study literature also clarifies the limits of the design. Event studies are most persuasive when events are discrete, unanticipated, and not contaminated by confounding news. Policy announcements often violate these ideal conditions. They may be anticipated, bundled with other information, or embedded in broader market trends. This is especially important for semiconductor support events during a period of strong sector movement. For this reason, the dissertation uses sector-adjusted returns and treats the results as evidence of market expectations rather than definitive causal estimates</w:t>
      </w:r>
      <w:r>
        <w:rPr>
          <w:rFonts w:ascii="Times New Roman" w:hAnsi="Times New Roman"/>
          <w:sz w:val="24"/>
        </w:rPr>
        <w:t xml:space="preserve"> (Kothari &amp; Warner, 2007; MacKinlay, 1997).</w:t>
      </w:r>
    </w:p>
    <w:p w:rsidR="00000000" w:rsidDel="00000000" w:rsidP="00000000" w:rsidRDefault="00000000" w:rsidRPr="00000000" w14:paraId="00000052">
      <w:pPr>
        <w:spacing w:after="0" w:before="0" w:lineRule="auto"/>
        <w:ind w:firstLine="72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Research transparency is also relevant to the event-study design. Gelman and Loken (2014) warn that researcher degrees of freedom can produce misleading results when analysts make flexible choices after seeing data. Nosek et al. (2018) emphasize preregistration as a way to reduce hindsight bias and clarify confirmatory claims. Simmons et al. (2011) similarly show how undisclosed analytic flexibility can generate false-positive findings. The dissertation responds to these concerns through frozen event selection, frozen coding, and a pre-data commitment to the primary outcome</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i w:val="1"/>
          <w:iCs w:val="1"/>
          <w:color w:val="188038"/>
          <w:sz w:val="24"/>
          <w:szCs w:val="24"/>
          <w:rtl w:val="0"/>
        </w:rPr>
        <w:t xml:space="preserve">car_sector_m1_p1</w:t>
      </w:r>
      <w:r w:rsidDel="00000000" w:rsidR="00000000" w:rsidRPr="00000000">
        <w:rPr>
          <w:rFonts w:ascii="Times New Roman" w:cs="Times New Roman" w:eastAsia="Times New Roman" w:hAnsi="Times New Roman"/>
          <w:i w:val="1"/>
          <w:iCs w:val="1"/>
          <w:sz w:val="24"/>
          <w:szCs w:val="24"/>
          <w:rtl w:val="0"/>
        </w:rPr>
        <w:t xml:space="preserve">.</w:t>
      </w:r>
    </w:p>
    <w:p w:rsidR="00000000" w:rsidDel="00000000" w:rsidP="00000000" w:rsidRDefault="00000000" w:rsidRPr="00000000" w14:paraId="00000053">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event-study literature therefore provides both the empirical tool and the cautionary framework. It supports using market reactions as evidence of investor interpretation, but it also requires discipline in event selection, window choice, benchmark choice, and interpretation.</w:t>
      </w:r>
      <w:r w:rsidDel="00000000" w:rsidR="00000000" w:rsidRPr="00000000">
        <w:rPr>
          <w:rtl w:val="0"/>
        </w:rPr>
      </w:r>
    </w:p>
    <w:p w:rsidR="00000000" w:rsidDel="00000000" w:rsidP="00000000" w:rsidRDefault="00000000" w:rsidRPr="00000000" w14:paraId="00000054">
      <w:pPr>
        <w:pStyle w:val="Heading4"/>
        <w:spacing w:after="0" w:before="280" w:lineRule="auto"/>
        <w:rPr>
          <w:rFonts w:ascii="Times New Roman" w:cs="Times New Roman" w:eastAsia="Times New Roman" w:hAnsi="Times New Roman"/>
          <w:color w:val="000000"/>
        </w:rPr>
      </w:pPr>
      <w:bookmarkStart w:colFirst="0" w:colLast="0" w:name="_t18apm1d9dw1" w:id="16"/>
      <w:bookmarkEnd w:id="16"/>
      <w:r w:rsidDel="00000000" w:rsidR="00000000" w:rsidRPr="00000000">
        <w:rPr>
          <w:rFonts w:ascii="Times New Roman" w:cs="Times New Roman" w:eastAsia="Times New Roman" w:hAnsi="Times New Roman"/>
          <w:color w:val="000000"/>
          <w:rtl w:val="0"/>
        </w:rPr>
        <w:t xml:space="preserve">2.6 Investor Interpretation of Mixed Signals</w:t>
      </w:r>
    </w:p>
    <w:p w:rsidR="00000000" w:rsidDel="00000000" w:rsidP="00000000" w:rsidRDefault="00000000" w:rsidRPr="00000000" w14:paraId="00000055">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final literature concerns how investors interpret information. Efficient-market theory suggests that prices respond to new information about expected value (Fama, 1970; Fama et al., 1969). However, events can contain mixed signals. A government support announcement may imply future subsidies, lower capital costs, and protected demand. It may also imply that the firm faces high costs, strategic vulnerability, or political constraints. Investors must interpret whether the opportunity signal outweighs the threat or weakness signal.</w:t>
      </w:r>
    </w:p>
    <w:p w:rsidR="00000000" w:rsidDel="00000000" w:rsidP="00000000" w:rsidRDefault="00000000" w:rsidRPr="00000000" w14:paraId="00000056">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Behavioural finance provides one reason to expect interpretation to vary. Shiller (2003) argues that financial markets cannot be understood only through strict efficient-market assumptions; investor psychology, narratives, and deviations from rational pricing may matter. This does not mean prices are uninformative. Rather, it suggests that market reactions reflect interpretation under uncertainty, not mechanical valuation of objective policy effects.</w:t>
      </w:r>
    </w:p>
    <w:p w:rsidR="00000000" w:rsidDel="00000000" w:rsidP="00000000" w:rsidRDefault="00000000" w:rsidRPr="00000000" w14:paraId="00000057">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dissertation’s theory relies on this interpretive step. Geopolitical competition does not automatically produce either negative or positive market reactions. The same event may be understood differently across firms. A named beneficiary may be viewed as receiving credible support, while a competitor may be viewed as disadvantaged or unaffected. A support event may be interpreted as opportunity in one case and weakness in another. This is why the project treats Investor Interpretation as the transmission process between State Support and Positive Market Reaction</w:t>
      </w:r>
      <w:r>
        <w:rPr>
          <w:rFonts w:ascii="Times New Roman" w:hAnsi="Times New Roman"/>
          <w:sz w:val="24"/>
        </w:rPr>
        <w:t xml:space="preserve"> (Fama, 1970; Shiller, 2003).</w:t>
      </w:r>
    </w:p>
    <w:p w:rsidR="00000000" w:rsidDel="00000000" w:rsidP="00000000" w:rsidRDefault="00000000" w:rsidRPr="00000000" w14:paraId="00000058">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existing literatures contain the pieces of this argument but rarely integrate them. Geopolitical risk scholarship emphasises threat and uncertainty. Geoeconomics emphasizes state use of economic tools. Industrial policy scholarship emphasizes state support and strategic sectors. Finance scholarship explains price reaction to information. Behavioural finance shows that interpretation can vary. The dissertation connects these pieces to explain why state-support events under geopolitical competition may generate heterogeneous market reactions.</w:t>
      </w:r>
    </w:p>
    <w:p w:rsidR="00000000" w:rsidDel="00000000" w:rsidP="00000000" w:rsidRDefault="00000000" w:rsidRPr="00000000" w14:paraId="0000005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This section also clarifies why the dissertation does not expect uniform positive effects. If support events are mixed signals, then reactions should vary by firm, event, credibility, materiality, and benchmark comparison. A positive market reaction is the outcome to be tested, not an assumption. The empirical design therefore allows for supportive, null, and theory-weakening results</w:t>
      </w:r>
      <w:r w:rsidDel="00000000" w:rsidR="00000000" w:rsidRPr="00000000">
        <w:rPr>
          <w:rtl w:val="0"/>
        </w:rPr>
      </w:r>
      <w:r>
        <w:rPr>
          <w:rFonts w:ascii="Times New Roman" w:hAnsi="Times New Roman"/>
          <w:sz w:val="24"/>
        </w:rPr>
        <w:t xml:space="preserve"> (Brown &amp; Warner, 1985; Shiller, 2003).</w:t>
      </w:r>
    </w:p>
    <w:p w:rsidR="00000000" w:rsidDel="00000000" w:rsidP="00000000" w:rsidRDefault="00000000" w:rsidRPr="00000000" w14:paraId="0000005A">
      <w:pPr>
        <w:pStyle w:val="Heading4"/>
        <w:spacing w:after="0" w:before="280" w:lineRule="auto"/>
        <w:rPr>
          <w:rFonts w:ascii="Times New Roman" w:cs="Times New Roman" w:eastAsia="Times New Roman" w:hAnsi="Times New Roman"/>
          <w:color w:val="000000"/>
        </w:rPr>
      </w:pPr>
      <w:bookmarkStart w:colFirst="0" w:colLast="0" w:name="_gxkukvl9ey6n" w:id="17"/>
      <w:bookmarkEnd w:id="17"/>
      <w:r w:rsidDel="00000000" w:rsidR="00000000" w:rsidRPr="00000000">
        <w:rPr>
          <w:rFonts w:ascii="Times New Roman" w:cs="Times New Roman" w:eastAsia="Times New Roman" w:hAnsi="Times New Roman"/>
          <w:color w:val="000000"/>
          <w:rtl w:val="0"/>
        </w:rPr>
        <w:t xml:space="preserve">2.7 Literature Synthesis: The Missing Link</w:t>
      </w:r>
    </w:p>
    <w:p w:rsidR="00000000" w:rsidDel="00000000" w:rsidP="00000000" w:rsidRDefault="00000000" w:rsidRPr="00000000" w14:paraId="0000005B">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literature reviewed in this chapter establishes four major points. First, geopolitical risk research shows that geopolitical competition usually creates uncertainty and downside market risk (Caldara &amp; Iacoviello, 2022). Second, economic statecraft and geoeconomics show that states use economic instruments to pursue strategic goals (Baldwin, 1985; Blackwill &amp; Harris, 2016; Farrell &amp; Newman, 2019, 2023; Hirschman, 1980; Luttwak, 1990). Third, industrial policy and strategic industry scholarship show that governments often support sectors viewed as important for development, innovation, security, or national competitiveness (Amsden, 2001; Block &amp; Keller, 2011; Chang, 2002; Evans, 1995; Johnson, 1982; Mazzucato, 2013, 2021; Rodrik, 2004; Wade, 1990; Weiss, 2014). Fourth, finance and event-study scholarship show that prices can react to new information and that short-window abnormal returns can be used to study investor expectations (Brown &amp; Warner, 1985; Fama, 1970; Fama et al., 1969; MacKinlay, 1997).</w:t>
      </w:r>
    </w:p>
    <w:p w:rsidR="00000000" w:rsidDel="00000000" w:rsidP="00000000" w:rsidRDefault="00000000" w:rsidRPr="00000000" w14:paraId="0000005C">
      <w:pPr>
        <w:spacing w:after="0" w:before="0" w:lineRule="auto"/>
        <w:ind w:firstLine="72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The missing link is the connection between these literatures. Existing work explains geopolitical risk, economic statecraft, industrial policy, and market reaction, but it does not fully explain the conditional pathway examined in this dissertation: Geopolitical Competition → Strategic Importance → State Support → Investor Interpretation → Market Reaction. </w:t>
      </w:r>
    </w:p>
    <w:p w:rsidR="00000000" w:rsidDel="00000000" w:rsidP="00000000" w:rsidRDefault="00000000" w:rsidRPr="00000000" w14:paraId="0000005D">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dissertation fills this gap by arguing that geopolitical competition can create market opportunity for selected firms when it makes those firms strategically important, induces credible state support, and leads investors to interpret that support as valuation-relevant. This argument does not reject the risk pathway. It adds a conditional opportunity pathway that applies only to selected firms and sectors.</w:t>
      </w:r>
    </w:p>
    <w:p w:rsidR="00000000" w:rsidDel="00000000" w:rsidP="00000000" w:rsidRDefault="00000000" w:rsidRPr="00000000" w14:paraId="0000005E">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key conceptual distinction is between Strategic Importance and State Support. Strategic Importance is a scope condition: it identifies which firms and sectors become relevant to states. State Support is the mechanism: it is the government action that may alter investor expectations. Investor Interpretation is the transmission process: investors decide whether the event signals opportunity, threat, weakness, or some combination of these. Positive Market Reaction is the outcome: the observed abnormal return around the event.</w:t>
      </w:r>
    </w:p>
    <w:p w:rsidR="00000000" w:rsidDel="00000000" w:rsidP="00000000" w:rsidRDefault="00000000" w:rsidRPr="00000000" w14:paraId="0000005F">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synthesis leads directly to the theory in Chapter 3 and the research design in Chapter 4. Chapter 3 specifies the mechanism and hypotheses. Chapter 4 translates the argument into a small-sample event-study design focused on semiconductor state-support announcements. Together, these chapters use the literature gap identified here to motivate a disciplined empirical test of whether state-backed opportunity appears in market reactions to geopolitical competition.</w:t>
      </w:r>
    </w:p>
    <w:p w:rsidR="00000000" w:rsidDel="00000000" w:rsidP="00000000" w:rsidRDefault="00000000" w:rsidRPr="00000000" w14:paraId="00000060">
      <w:pPr>
        <w:pStyle w:val="Heading3"/>
        <w:spacing w:before="0" w:lineRule="auto"/>
        <w:rPr>
          <w:rFonts w:ascii="Times New Roman" w:cs="Times New Roman" w:eastAsia="Times New Roman" w:hAnsi="Times New Roman"/>
          <w:color w:val="000000"/>
          <w:sz w:val="24"/>
          <w:szCs w:val="24"/>
        </w:rPr>
      </w:pPr>
      <w:bookmarkStart w:colFirst="0" w:colLast="0" w:name="_6yzen8b3mu1x" w:id="18"/>
      <w:bookmarkEnd w:id="18"/>
      <w:r w:rsidDel="00000000" w:rsidR="00000000" w:rsidRPr="00000000">
        <w:rPr>
          <w:rFonts w:ascii="Times New Roman" w:cs="Times New Roman" w:eastAsia="Times New Roman" w:hAnsi="Times New Roman"/>
          <w:color w:val="000000"/>
          <w:sz w:val="24"/>
          <w:szCs w:val="24"/>
          <w:rtl w:val="0"/>
        </w:rPr>
        <w:t xml:space="preserve">Chapter 3. Theory</w:t>
      </w:r>
    </w:p>
    <w:p w:rsidR="00000000" w:rsidDel="00000000" w:rsidP="00000000" w:rsidRDefault="00000000" w:rsidRPr="00000000" w14:paraId="00000061">
      <w:pPr>
        <w:pStyle w:val="Heading4"/>
        <w:spacing w:before="200" w:lineRule="auto"/>
        <w:rPr>
          <w:rFonts w:ascii="Times New Roman" w:cs="Times New Roman" w:eastAsia="Times New Roman" w:hAnsi="Times New Roman"/>
          <w:color w:val="000000"/>
        </w:rPr>
      </w:pPr>
      <w:bookmarkStart w:colFirst="0" w:colLast="0" w:name="_x4n8vy5xgdm6" w:id="19"/>
      <w:bookmarkEnd w:id="19"/>
      <w:r w:rsidDel="00000000" w:rsidR="00000000" w:rsidRPr="00000000">
        <w:rPr>
          <w:rFonts w:ascii="Times New Roman" w:cs="Times New Roman" w:eastAsia="Times New Roman" w:hAnsi="Times New Roman"/>
          <w:color w:val="000000"/>
          <w:rtl w:val="0"/>
        </w:rPr>
        <w:t xml:space="preserve">3.1 Introduction</w:t>
      </w:r>
    </w:p>
    <w:p w:rsidR="00000000" w:rsidDel="00000000" w:rsidP="00000000" w:rsidRDefault="00000000" w:rsidRPr="00000000" w14:paraId="00000062">
      <w:pPr>
        <w:spacing w:after="0" w:before="0" w:lineRule="auto"/>
        <w:ind w:firstLine="72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This chapter presents the theoretical framework for the dissertation. The central question is when geopolitical competition generates positive market reactions for strategically important firms or sectors through expected state support. The theory does not claim that geopolitical competition is generally beneficial for markets. It begins from the opposite premise: geopolitical competition often increases uncertainty, raises compliance costs, restricts market access, disrupts supply chains, and produces negative aggregate market effects, consistent with the geopolitical-risk literature (Caldara &amp; Iacoviello, 2022). The puzzle is that selected firms may nevertheless experience positive market reactions when geopolitical competition leads states to provide credible support to strategically important actors. The argument is organised around a conditional pathway: Geopolitical Competition → Strategic Importance → State Support → Investor Interpretation → Positive Market Reaction.</w:t>
      </w:r>
    </w:p>
    <w:p w:rsidR="00000000" w:rsidDel="00000000" w:rsidP="00000000" w:rsidRDefault="00000000" w:rsidRPr="00000000" w14:paraId="00000063">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mechanism is state support. Strategic importance identifies which firms, sectors, technologies, or locations become salient to governments under geopolitical competition. However, strategic importance alone does not guarantee positive market reactions. A strategically important firm may still face export restrictions, retaliation, input disruption, or costly compliance obligations. Positive market reactions become more likely when strategic importance is converted into credible state support, and when investors interpret that support as improving expected cash flows or reducing downside risk. This logic connects industrial-policy scholarship on state support and strategic sectors with finance scholarship on market reactions to information (Fama, 1970; Fama et al., 1969; Mazzucato, 2013, 2021; Rodrik, 2004). The frozen theoretical claim is narrow: Geopolitical competition generates positive market reactions when strategically important firms or sectors are expected to receive credible state support that improves future cash flows or reduces downside risk. This chapter develops that claim without expanding the theory beyond the frozen project logic.</w:t>
      </w:r>
    </w:p>
    <w:p w:rsidR="00000000" w:rsidDel="00000000" w:rsidP="00000000" w:rsidRDefault="00000000" w:rsidRPr="00000000" w14:paraId="00000064">
      <w:pPr>
        <w:pStyle w:val="Heading4"/>
        <w:spacing w:before="200" w:lineRule="auto"/>
        <w:rPr>
          <w:rFonts w:ascii="Times New Roman" w:cs="Times New Roman" w:eastAsia="Times New Roman" w:hAnsi="Times New Roman"/>
          <w:color w:val="000000"/>
        </w:rPr>
      </w:pPr>
      <w:bookmarkStart w:colFirst="0" w:colLast="0" w:name="_4ir0v4va02no" w:id="20"/>
      <w:bookmarkEnd w:id="20"/>
      <w:r w:rsidDel="00000000" w:rsidR="00000000" w:rsidRPr="00000000">
        <w:rPr>
          <w:rFonts w:ascii="Times New Roman" w:cs="Times New Roman" w:eastAsia="Times New Roman" w:hAnsi="Times New Roman"/>
          <w:color w:val="000000"/>
          <w:rtl w:val="0"/>
        </w:rPr>
        <w:t xml:space="preserve">3.2 The Traditional Risk Pathway</w:t>
      </w:r>
    </w:p>
    <w:p w:rsidR="00000000" w:rsidDel="00000000" w:rsidP="00000000" w:rsidRDefault="00000000" w:rsidRPr="00000000" w14:paraId="00000065">
      <w:pPr>
        <w:spacing w:after="0" w:before="0" w:lineRule="auto"/>
        <w:ind w:firstLine="72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The standard expectation in much work on geopolitical risk is that geopolitical competition creates market losses. Rivalry among states can increase uncertainty, disrupt trade and investment, restrict technology flows, and reduce confidence in future earnings. Wars, sanctions, export controls, investment restrictions, and strategic decoupling can all produce risk-off reactions in financial markets (Caldara &amp; Iacoviello, 2022; Farrell &amp; Newman, 2019). This risk pathway can be summarised as: Geopolitical Competition → Threat / Restriction / Uncertainty → Negative Market Reaction.</w:t>
      </w:r>
    </w:p>
    <w:p w:rsidR="00000000" w:rsidDel="00000000" w:rsidP="00000000" w:rsidRDefault="00000000" w:rsidRPr="00000000" w14:paraId="00000066">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pathway remains central to the dissertation. The theory does not reject it. In many cases, the threat channel should dominate. Firms exposed to restricted markets, retaliation, input shortages, or compliance costs may lose value. Broad market indices may also fall when geopolitical events increase uncertainty or worsen macroeconomic expectations.</w:t>
      </w:r>
    </w:p>
    <w:p w:rsidR="00000000" w:rsidDel="00000000" w:rsidP="00000000" w:rsidRDefault="00000000" w:rsidRPr="00000000" w14:paraId="00000067">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contribution of the dissertation is to identify a second pathway that may operate for selected firms. Geopolitical competition may not only create risks; it may also increase the political value of firms or sectors that governments view as strategically important. When this strategic importance produces credible state support, investors may interpret the event as an opportunity signal rather than only a threat signal.</w:t>
      </w:r>
    </w:p>
    <w:p w:rsidR="00000000" w:rsidDel="00000000" w:rsidP="00000000" w:rsidRDefault="00000000" w:rsidRPr="00000000" w14:paraId="00000068">
      <w:pPr>
        <w:pStyle w:val="Heading4"/>
        <w:spacing w:before="200" w:lineRule="auto"/>
        <w:rPr>
          <w:rFonts w:ascii="Times New Roman" w:cs="Times New Roman" w:eastAsia="Times New Roman" w:hAnsi="Times New Roman"/>
          <w:color w:val="000000"/>
        </w:rPr>
      </w:pPr>
      <w:bookmarkStart w:colFirst="0" w:colLast="0" w:name="_ktz0jy9xmhvp" w:id="21"/>
      <w:bookmarkEnd w:id="21"/>
      <w:r w:rsidDel="00000000" w:rsidR="00000000" w:rsidRPr="00000000">
        <w:rPr>
          <w:rFonts w:ascii="Times New Roman" w:cs="Times New Roman" w:eastAsia="Times New Roman" w:hAnsi="Times New Roman"/>
          <w:color w:val="000000"/>
          <w:rtl w:val="0"/>
        </w:rPr>
        <w:t xml:space="preserve">3.3 Geopolitical Competition</w:t>
      </w:r>
    </w:p>
    <w:p w:rsidR="00000000" w:rsidDel="00000000" w:rsidP="00000000" w:rsidRDefault="00000000" w:rsidRPr="00000000" w14:paraId="00000069">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Geopolitical competition refers to rivalry among states using military, economic, technological, regulatory, and industrial-policy tools to pursue security, influence, autonomy, or strategic advantage. In this project, the relevant events are not generic diplomatic tensions. The empirical focus is on policy-relevant actions such as subsidies, procurement commitments, export controls, industrial-policy announcements, strategic investment, and supply-chain restrictions. This definition draws on economic statecraft and geoeconomics scholarship that treats markets, trade, finance, and supply chains as instruments and arenas of strategic power (Baldwin, 1985; Blackwill &amp; Harris, 2016; Farrell &amp; Newman, 2019, 2023; Hirschman, 1980; Luttwak, 1990).</w:t>
      </w:r>
    </w:p>
    <w:p w:rsidR="00000000" w:rsidDel="00000000" w:rsidP="00000000" w:rsidRDefault="00000000" w:rsidRPr="00000000" w14:paraId="0000006A">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Geopolitical competition matters because it changes the political value of economic activity. Technologies, firms, production sites, and supply chains that might otherwise be evaluated mainly in commercial terms can become national-security concerns. Semiconductors are a clear example. They are inputs into consumer electronics, cloud computing, artificial intelligence, weapons systems, telecommunications, and critical infrastructure. As geopolitical competition intensifies, governments may treat semiconductor production capacity, design capability, manufacturing equipment, and trusted supply chains as strategic assets.</w:t>
      </w:r>
    </w:p>
    <w:p w:rsidR="00000000" w:rsidDel="00000000" w:rsidP="00000000" w:rsidRDefault="00000000" w:rsidRPr="00000000" w14:paraId="0000006B">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does not mean that every firm in a strategic sector benefits. Competition may harm some firms while helping others. The theoretical issue is therefore not whether geopolitical competition is good or bad in aggregate, but how investors distinguish between threatened firms and supported firms within the same broad geopolitical environment.</w:t>
      </w:r>
    </w:p>
    <w:p w:rsidR="00000000" w:rsidDel="00000000" w:rsidP="00000000" w:rsidRDefault="00000000" w:rsidRPr="00000000" w14:paraId="0000006C">
      <w:pPr>
        <w:pStyle w:val="Heading4"/>
        <w:spacing w:before="200" w:lineRule="auto"/>
        <w:rPr>
          <w:rFonts w:ascii="Times New Roman" w:cs="Times New Roman" w:eastAsia="Times New Roman" w:hAnsi="Times New Roman"/>
          <w:color w:val="000000"/>
        </w:rPr>
      </w:pPr>
      <w:bookmarkStart w:colFirst="0" w:colLast="0" w:name="_dy4ow6i1g518" w:id="22"/>
      <w:bookmarkEnd w:id="22"/>
      <w:r w:rsidDel="00000000" w:rsidR="00000000" w:rsidRPr="00000000">
        <w:rPr>
          <w:rFonts w:ascii="Times New Roman" w:cs="Times New Roman" w:eastAsia="Times New Roman" w:hAnsi="Times New Roman"/>
          <w:color w:val="000000"/>
          <w:rtl w:val="0"/>
        </w:rPr>
        <w:t xml:space="preserve">3.4 Strategic Importance as Scope Condition</w:t>
      </w:r>
    </w:p>
    <w:p w:rsidR="00000000" w:rsidDel="00000000" w:rsidP="00000000" w:rsidRDefault="00000000" w:rsidRPr="00000000" w14:paraId="0000006D">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Strategic importance is the degree to which a firm, sector, technology, or location is viewed by governments as important for national security, technological leadership, economic resilience, military capability, or control over critical supply chains. Strategic importance is a scope condition in the theory. It identifies where states are likely to care, but it does not itself create the market mechanism. This distinction follows from industrial policy and developmental-state scholarship, which shows why states may prioritize strategic sectors without implying that every policy signal immediately produces a positive market reaction (Amsden, 2001; Chang, 2002; Johnson, 1982; Wade, 1990).</w:t>
      </w:r>
    </w:p>
    <w:p w:rsidR="00000000" w:rsidDel="00000000" w:rsidP="00000000" w:rsidRDefault="00000000" w:rsidRPr="00000000" w14:paraId="0000006E">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firm may be strategically important because it controls a critical technology, produces an essential input, occupies a supply-chain chokepoint, operates in a trusted location, or contributes to military and economic resilience. In semiconductor markets, strategic importance may attach to advanced fabrication, memory production, foundry capacity, semiconductor manufacturing equipment, or supply-chain redundancy.</w:t>
      </w:r>
    </w:p>
    <w:p w:rsidR="00000000" w:rsidDel="00000000" w:rsidP="00000000" w:rsidRDefault="00000000" w:rsidRPr="00000000" w14:paraId="0000006F">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strategic importance is not sufficient for positive market reactions. A strategically important firm may face new restrictions, lose access to foreign markets, incur costly domestic investment obligations, or become exposed to political conditions attached to support. Strategic importance may even increase regulatory scrutiny. For that reason, strategic importance should not be treated as the causal mechanism. It is the condition that makes state support more likely.</w:t>
      </w:r>
    </w:p>
    <w:p w:rsidR="00000000" w:rsidDel="00000000" w:rsidP="00000000" w:rsidRDefault="00000000" w:rsidRPr="00000000" w14:paraId="00000070">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dissertation therefore distinguishes clearly between strategic importance and state support. Strategic importance explains why a government may intervene. State support explains why investors may update their expectations about firm value.</w:t>
      </w:r>
    </w:p>
    <w:p w:rsidR="00000000" w:rsidDel="00000000" w:rsidP="00000000" w:rsidRDefault="00000000" w:rsidRPr="00000000" w14:paraId="00000071">
      <w:pPr>
        <w:pStyle w:val="Heading4"/>
        <w:spacing w:before="200" w:lineRule="auto"/>
        <w:rPr>
          <w:rFonts w:ascii="Times New Roman" w:cs="Times New Roman" w:eastAsia="Times New Roman" w:hAnsi="Times New Roman"/>
          <w:color w:val="000000"/>
        </w:rPr>
      </w:pPr>
      <w:bookmarkStart w:colFirst="0" w:colLast="0" w:name="_8y06uua47ehe" w:id="23"/>
      <w:bookmarkEnd w:id="23"/>
      <w:r w:rsidDel="00000000" w:rsidR="00000000" w:rsidRPr="00000000">
        <w:rPr>
          <w:rFonts w:ascii="Times New Roman" w:cs="Times New Roman" w:eastAsia="Times New Roman" w:hAnsi="Times New Roman"/>
          <w:color w:val="000000"/>
          <w:rtl w:val="0"/>
        </w:rPr>
        <w:t xml:space="preserve">3.5 State Support as Mechanism</w:t>
      </w:r>
    </w:p>
    <w:p w:rsidR="00000000" w:rsidDel="00000000" w:rsidP="00000000" w:rsidRDefault="00000000" w:rsidRPr="00000000" w14:paraId="00000072">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State support is the core conversion mechanism in the theory. It refers to government action that plausibly improves the expected economic position of strategically important firms or sectors. It includes subsidies, procurement, grants, tax credits, loans, guarantees, regulation, protection, industrial policy, local-content rules, trusted-supplier rules, and strategic capacity commitments. This mechanism builds on industrial-policy and mission-oriented state arguments that public institutions can shape markets, investment incentives, and innovation trajectories (Block &amp; Keller, 2011; Mazzucato, 2013, 2021; Rodrik, 2004; Weiss, 2014).</w:t>
      </w:r>
    </w:p>
    <w:p w:rsidR="00000000" w:rsidDel="00000000" w:rsidP="00000000" w:rsidRDefault="00000000" w:rsidRPr="00000000" w14:paraId="00000073">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State support can affect market expectations through several channels. It may increase expected revenue by creating procurement demand or subsidised capacity expansion. It may lower capital costs by providing grants, loans, guarantees, or tax credits. It may protect demand by favoring trusted suppliers or domestic production. It may reduce downside risk by signaling that the state views the firm or sector as too strategically important to allow failure or decline.</w:t>
      </w:r>
    </w:p>
    <w:p w:rsidR="00000000" w:rsidDel="00000000" w:rsidP="00000000" w:rsidRDefault="00000000" w:rsidRPr="00000000" w14:paraId="00000074">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theory is not that markets mechanically reward all government support. Support can be too small, too anticipated, too conditional, or too costly to generate positive reactions. It may also signal that a firm needs public assistance, which can weaken investor confidence. The mechanism therefore depends on credibility, materiality, directness, and investor interpretation.</w:t>
      </w:r>
    </w:p>
    <w:p w:rsidR="00000000" w:rsidDel="00000000" w:rsidP="00000000" w:rsidRDefault="00000000" w:rsidRPr="00000000" w14:paraId="00000075">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strongest version of the mechanism appears when support is specific, funded, and attached to identifiable firms or sectors. Direct named support should provide clearer information to investors than broad policy rhetoric. A named preliminary funding announcement, for example, identifies a beneficiary more clearly than a general statement about national industrial priorities.</w:t>
      </w:r>
    </w:p>
    <w:p w:rsidR="00000000" w:rsidDel="00000000" w:rsidP="00000000" w:rsidRDefault="00000000" w:rsidRPr="00000000" w14:paraId="00000076">
      <w:pPr>
        <w:pStyle w:val="Heading4"/>
        <w:spacing w:before="200" w:lineRule="auto"/>
        <w:rPr>
          <w:rFonts w:ascii="Times New Roman" w:cs="Times New Roman" w:eastAsia="Times New Roman" w:hAnsi="Times New Roman"/>
          <w:color w:val="000000"/>
        </w:rPr>
      </w:pPr>
      <w:bookmarkStart w:colFirst="0" w:colLast="0" w:name="_gmqii2m0y2rh" w:id="24"/>
      <w:bookmarkEnd w:id="24"/>
      <w:r w:rsidDel="00000000" w:rsidR="00000000" w:rsidRPr="00000000">
        <w:rPr>
          <w:rFonts w:ascii="Times New Roman" w:cs="Times New Roman" w:eastAsia="Times New Roman" w:hAnsi="Times New Roman"/>
          <w:color w:val="000000"/>
          <w:rtl w:val="0"/>
        </w:rPr>
        <w:t xml:space="preserve">3.6 Investor Interpretation</w:t>
      </w:r>
    </w:p>
    <w:p w:rsidR="00000000" w:rsidDel="00000000" w:rsidP="00000000" w:rsidRDefault="00000000" w:rsidRPr="00000000" w14:paraId="00000077">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Investor interpretation is the final step before market reaction. Geopolitical events are not automatically classified by markets as either threats or opportunities. They may contain both signals at once. A state-support announcement may imply future subsidies and protected demand, but it may also signal high costs, political constraints, or prior weakness. An export-control event may threaten exposed firms, but it may also imply substitution opportunities for competitors. This interpretive step is consistent with finance theory's emphasis on price reactions to information and behavioral finance's emphasis on narratives and uncertainty in investor judgment (Fama, 1970; Fama et al., 1969; Shiller, 2003).</w:t>
      </w:r>
    </w:p>
    <w:p w:rsidR="00000000" w:rsidDel="00000000" w:rsidP="00000000" w:rsidRDefault="00000000" w:rsidRPr="00000000" w14:paraId="00000078">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Investors therefore interpret the event by assessing whether the opportunity signal outweighs the threat signal for particular firms. Positive market reactions should be most likely when the opportunity signal is credible, material, and attached to a visible public-market beneficiary. Negative reactions should be more likely when restrictions, uncertainty, retaliation, or cost burdens dominate.</w:t>
      </w:r>
    </w:p>
    <w:p w:rsidR="00000000" w:rsidDel="00000000" w:rsidP="00000000" w:rsidRDefault="00000000" w:rsidRPr="00000000" w14:paraId="00000079">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theory expects heterogeneous reactions. Some firms may gain while others lose around the same event. A named beneficiary may react differently from a sector peer. A broad benchmark may move differently from a firm directly named in a policy announcement. This cross-sectional logic is central to the research design.</w:t>
      </w:r>
    </w:p>
    <w:p w:rsidR="00000000" w:rsidDel="00000000" w:rsidP="00000000" w:rsidRDefault="00000000" w:rsidRPr="00000000" w14:paraId="0000007A">
      <w:pPr>
        <w:pStyle w:val="Heading4"/>
        <w:spacing w:before="200" w:lineRule="auto"/>
        <w:rPr>
          <w:rFonts w:ascii="Times New Roman" w:cs="Times New Roman" w:eastAsia="Times New Roman" w:hAnsi="Times New Roman"/>
          <w:color w:val="000000"/>
        </w:rPr>
      </w:pPr>
      <w:bookmarkStart w:colFirst="0" w:colLast="0" w:name="_kxjxgc621rov" w:id="25"/>
      <w:bookmarkEnd w:id="25"/>
      <w:r w:rsidDel="00000000" w:rsidR="00000000" w:rsidRPr="00000000">
        <w:rPr>
          <w:rFonts w:ascii="Times New Roman" w:cs="Times New Roman" w:eastAsia="Times New Roman" w:hAnsi="Times New Roman"/>
          <w:color w:val="000000"/>
          <w:rtl w:val="0"/>
        </w:rPr>
        <w:t xml:space="preserve">3.7 Market Reaction</w:t>
      </w:r>
    </w:p>
    <w:p w:rsidR="00000000" w:rsidDel="00000000" w:rsidP="00000000" w:rsidRDefault="00000000" w:rsidRPr="00000000" w14:paraId="0000007B">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Market reaction refers to short-window changes in firm or sector value around policy-relevant geopolitical events. The dissertation focuses on abnormal returns rather than long-term welfare, policy success, or realised productivity. The outcome captures investor expectations at the time of the event. This approach follows the event-study tradition, which uses short-window price movements to infer the market's assessment of new information (Brown &amp; Warner, 1985; MacKinlay, 1997).</w:t>
      </w:r>
    </w:p>
    <w:p w:rsidR="00000000" w:rsidDel="00000000" w:rsidP="00000000" w:rsidRDefault="00000000" w:rsidRPr="00000000" w14:paraId="0000007C">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positive market reaction does not prove that state support will succeed. It does not prove that policy improves social welfare or firm fundamentals in the long run. It shows that investors priced the event in a way consistent with improved expected cash flows, reduced downside risk, protected demand, or other valuation-relevant benefits.</w:t>
      </w:r>
    </w:p>
    <w:p w:rsidR="00000000" w:rsidDel="00000000" w:rsidP="00000000" w:rsidRDefault="00000000" w:rsidRPr="00000000" w14:paraId="0000007D">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theory is therefore a market-expectations theory. It asks whether credible state support under geopolitical competition is visible in short-window market reactions for strategically important firms.</w:t>
      </w:r>
    </w:p>
    <w:p w:rsidR="00000000" w:rsidDel="00000000" w:rsidP="00000000" w:rsidRDefault="00000000" w:rsidRPr="00000000" w14:paraId="0000007E">
      <w:pPr>
        <w:pStyle w:val="Heading4"/>
        <w:spacing w:before="200" w:lineRule="auto"/>
        <w:rPr>
          <w:rFonts w:ascii="Times New Roman" w:cs="Times New Roman" w:eastAsia="Times New Roman" w:hAnsi="Times New Roman"/>
          <w:color w:val="000000"/>
        </w:rPr>
      </w:pPr>
      <w:bookmarkStart w:colFirst="0" w:colLast="0" w:name="_98zayj1refru" w:id="26"/>
      <w:bookmarkEnd w:id="26"/>
      <w:r w:rsidDel="00000000" w:rsidR="00000000" w:rsidRPr="00000000">
        <w:rPr>
          <w:rFonts w:ascii="Times New Roman" w:cs="Times New Roman" w:eastAsia="Times New Roman" w:hAnsi="Times New Roman"/>
          <w:color w:val="000000"/>
          <w:rtl w:val="0"/>
        </w:rPr>
        <w:t xml:space="preserve">3.8 Hypotheses</w:t>
      </w:r>
    </w:p>
    <w:p w:rsidR="00000000" w:rsidDel="00000000" w:rsidP="00000000" w:rsidRDefault="00000000" w:rsidRPr="00000000" w14:paraId="0000007F">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dissertation uses the existing frozen hypotheses. H1 State Support Hypothesis: Geopolitical competition events that include credible state support will produce more positive market reactions for affected firms or sectors than events that only increase geopolitical tension. H2 Strategic Importance Scope Hypothesis: State support will have stronger positive market effects when directed toward strategically important firms or sectors than when directed toward less strategically important firms or sectors. H3 Threat Dominance Hypothesis: When geopolitical events impose direct restrictions, lost market access, retaliation risk, or input disruption without credible offsetting state support, threat signals will dominate and market reactions will be negative.H4 Substitution / Reallocation Hypothesis: Geopolitical restrictions will produce positive market reactions for alternative suppliers or trusted-location beneficiaries when the event plausibly redirects demand, sourcing, or investment toward them. H5 Adaptation / Learning Hypothesis: As similar geopolitical-policy events repeat, market reactions will become more differentiated between threatened firms and state-supported or strategically positioned beneficiaries.</w:t>
      </w:r>
    </w:p>
    <w:p w:rsidR="00000000" w:rsidDel="00000000" w:rsidP="00000000" w:rsidRDefault="00000000" w:rsidRPr="00000000" w14:paraId="00000080">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hypotheses preserve the core distinction between threat-dominant events and support-linked opportunity events. They also preserve the expectation that market reactions should vary across firms depending on exposure role, strategic position, and expected state support.</w:t>
      </w:r>
    </w:p>
    <w:p w:rsidR="00000000" w:rsidDel="00000000" w:rsidP="00000000" w:rsidRDefault="00000000" w:rsidRPr="00000000" w14:paraId="00000081">
      <w:pPr>
        <w:pStyle w:val="Heading4"/>
        <w:spacing w:before="200" w:lineRule="auto"/>
        <w:rPr>
          <w:rFonts w:ascii="Times New Roman" w:cs="Times New Roman" w:eastAsia="Times New Roman" w:hAnsi="Times New Roman"/>
          <w:color w:val="000000"/>
        </w:rPr>
      </w:pPr>
      <w:bookmarkStart w:colFirst="0" w:colLast="0" w:name="_g298koz1qmdw" w:id="27"/>
      <w:bookmarkEnd w:id="27"/>
      <w:r w:rsidDel="00000000" w:rsidR="00000000" w:rsidRPr="00000000">
        <w:rPr>
          <w:rFonts w:ascii="Times New Roman" w:cs="Times New Roman" w:eastAsia="Times New Roman" w:hAnsi="Times New Roman"/>
          <w:color w:val="000000"/>
          <w:rtl w:val="0"/>
        </w:rPr>
        <w:t xml:space="preserve">3.9 Scope Conditions</w:t>
      </w:r>
    </w:p>
    <w:p w:rsidR="00000000" w:rsidDel="00000000" w:rsidP="00000000" w:rsidRDefault="00000000" w:rsidRPr="00000000" w14:paraId="00000082">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theory should apply most directly in strategic sectors where governments have clear security, resilience, or technological leadership concerns. These include semiconductors, defense, energy security, AI infrastructure, critical minerals, telecommunications, and supply-chain chokepoints. The empirical test in this dissertation focuses on semiconductors because the sector is strategically important, subject to observable state support, represented by public firms and benchmarks, and exposed to both support and threat-dominant events.</w:t>
      </w:r>
    </w:p>
    <w:p w:rsidR="00000000" w:rsidDel="00000000" w:rsidP="00000000" w:rsidRDefault="00000000" w:rsidRPr="00000000" w14:paraId="00000083">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theory should apply less well to broad market shocks, symbolic policy announcements, unsupported strategic firms, fully anticipated events, or cases where support imposes costs that outweigh benefits. It also should not be extended to claim that geopolitical competition is generally positive for markets.</w:t>
      </w:r>
    </w:p>
    <w:p w:rsidR="00000000" w:rsidDel="00000000" w:rsidP="00000000" w:rsidRDefault="00000000" w:rsidRPr="00000000" w14:paraId="00000084">
      <w:pPr>
        <w:pStyle w:val="Heading4"/>
        <w:spacing w:before="200" w:lineRule="auto"/>
        <w:rPr>
          <w:rFonts w:ascii="Times New Roman" w:cs="Times New Roman" w:eastAsia="Times New Roman" w:hAnsi="Times New Roman"/>
          <w:color w:val="000000"/>
        </w:rPr>
      </w:pPr>
      <w:bookmarkStart w:colFirst="0" w:colLast="0" w:name="_k97qfmdc5qx1" w:id="28"/>
      <w:bookmarkEnd w:id="28"/>
      <w:r w:rsidDel="00000000" w:rsidR="00000000" w:rsidRPr="00000000">
        <w:rPr>
          <w:rFonts w:ascii="Times New Roman" w:cs="Times New Roman" w:eastAsia="Times New Roman" w:hAnsi="Times New Roman"/>
          <w:color w:val="000000"/>
          <w:rtl w:val="0"/>
        </w:rPr>
        <w:t xml:space="preserve">3.10 Chapter Summary</w:t>
      </w:r>
    </w:p>
    <w:p w:rsidR="00000000" w:rsidDel="00000000" w:rsidP="00000000" w:rsidRDefault="00000000" w:rsidRPr="00000000" w14:paraId="00000085">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chapter has presented the frozen theoretical framework. The central claim is that geopolitical competition can generate positive market reactions for selected firms when strategic importance is converted into credible state support and investors interpret that support as valuation-relevant. The theory is conditional, firm-specific, and limited to market expectations. It does not claim that geopolitical competition is broadly beneficial, that all strategic firms gain, or that state support guarantees long-term success.</w:t>
      </w:r>
    </w:p>
    <w:p w:rsidR="00000000" w:rsidDel="00000000" w:rsidP="00000000" w:rsidRDefault="00000000" w:rsidRPr="00000000" w14:paraId="00000086">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next chapter translates this framework into the research design. It explains the event selection logic, coding protocol, dataset architecture, event-study design, outcome variables, and pre-data commitment used to test whether the observed market reactions are consistent with the State Support mechanism.</w:t>
      </w:r>
    </w:p>
    <w:p w:rsidR="00000000" w:rsidDel="00000000" w:rsidP="00000000" w:rsidRDefault="00000000" w:rsidRPr="00000000" w14:paraId="00000087">
      <w:pPr>
        <w:pStyle w:val="Heading3"/>
        <w:spacing w:before="480" w:lineRule="auto"/>
        <w:rPr>
          <w:rFonts w:ascii="Times New Roman" w:cs="Times New Roman" w:eastAsia="Times New Roman" w:hAnsi="Times New Roman"/>
          <w:color w:val="000000"/>
          <w:sz w:val="24"/>
          <w:szCs w:val="24"/>
        </w:rPr>
      </w:pPr>
      <w:bookmarkStart w:colFirst="0" w:colLast="0" w:name="_h9wu6ktdpjty" w:id="29"/>
      <w:bookmarkEnd w:id="29"/>
      <w:r w:rsidDel="00000000" w:rsidR="00000000" w:rsidRPr="00000000">
        <w:rPr>
          <w:rFonts w:ascii="Times New Roman" w:cs="Times New Roman" w:eastAsia="Times New Roman" w:hAnsi="Times New Roman"/>
          <w:color w:val="000000"/>
          <w:sz w:val="24"/>
          <w:szCs w:val="24"/>
          <w:rtl w:val="0"/>
        </w:rPr>
        <w:t xml:space="preserve">Chapter 4. Research Design</w:t>
      </w:r>
    </w:p>
    <w:p w:rsidR="00000000" w:rsidDel="00000000" w:rsidP="00000000" w:rsidRDefault="00000000" w:rsidRPr="00000000" w14:paraId="00000088">
      <w:pPr>
        <w:pStyle w:val="Heading4"/>
        <w:spacing w:after="0" w:before="0" w:lineRule="auto"/>
        <w:rPr>
          <w:rFonts w:ascii="Times New Roman" w:cs="Times New Roman" w:eastAsia="Times New Roman" w:hAnsi="Times New Roman"/>
          <w:color w:val="000000"/>
        </w:rPr>
      </w:pPr>
      <w:bookmarkStart w:colFirst="0" w:colLast="0" w:name="_19ahiww9rir2" w:id="30"/>
      <w:bookmarkEnd w:id="30"/>
      <w:r w:rsidDel="00000000" w:rsidR="00000000" w:rsidRPr="00000000">
        <w:rPr>
          <w:rFonts w:ascii="Times New Roman" w:cs="Times New Roman" w:eastAsia="Times New Roman" w:hAnsi="Times New Roman"/>
          <w:color w:val="000000"/>
          <w:rtl w:val="0"/>
        </w:rPr>
        <w:t xml:space="preserve">4.1 Introduction</w:t>
      </w:r>
    </w:p>
    <w:p w:rsidR="00000000" w:rsidDel="00000000" w:rsidP="00000000" w:rsidRDefault="00000000" w:rsidRPr="00000000" w14:paraId="00000089">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This chapter explains the empirical design used to evaluate the State Support mechanism. The dissertation uses a small-sample event-study design focused on semiconductor state-support announcements and related event-firm observations. The design is intended as a transparent market-expectations test, not a structural causal estimate. It does not claim to identify the full causal effect of geopolitical competition on firm value. Instead, it tests whether named state-support announcements for strategically important semiconductor firms are associated with short-window market reactions consistent with the frozen theory. This design follows the event-study logic that prices can react to new information around identifiable events (Brown &amp; Warner, 1985; Fama, 1970; MacKinlay, 1997).</w:t>
      </w:r>
    </w:p>
    <w:p w:rsidR="00000000" w:rsidDel="00000000" w:rsidP="00000000" w:rsidRDefault="00000000" w:rsidRPr="00000000" w14:paraId="0000008A">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design follows the pre-committed logic of the project. Events, assets, event-asset links, coding rules, and outcome variables were defined before interpreting returns. This discipline responds to concerns about researcher degrees of freedom, post hoc outcome selection, and undisclosed analytic flexibility (Gelman &amp; Loken, 2014; Nosek et al., 2018; Simmons et al., 2011). The empirical strategy prioritises sector-adjusted returns because the main concern is whether named beneficiaries move differently from the broader semiconductor sector.</w:t>
      </w:r>
    </w:p>
    <w:p w:rsidR="00000000" w:rsidDel="00000000" w:rsidP="00000000" w:rsidRDefault="00000000" w:rsidRPr="00000000" w14:paraId="0000008B">
      <w:pPr>
        <w:pStyle w:val="Heading4"/>
        <w:spacing w:before="200" w:lineRule="auto"/>
        <w:rPr>
          <w:rFonts w:ascii="Times New Roman" w:cs="Times New Roman" w:eastAsia="Times New Roman" w:hAnsi="Times New Roman"/>
          <w:color w:val="000000"/>
        </w:rPr>
      </w:pPr>
      <w:bookmarkStart w:colFirst="0" w:colLast="0" w:name="_t1utnr9jur0g" w:id="31"/>
      <w:bookmarkEnd w:id="31"/>
      <w:r w:rsidDel="00000000" w:rsidR="00000000" w:rsidRPr="00000000">
        <w:rPr>
          <w:rFonts w:ascii="Times New Roman" w:cs="Times New Roman" w:eastAsia="Times New Roman" w:hAnsi="Times New Roman"/>
          <w:color w:val="000000"/>
          <w:rtl w:val="0"/>
        </w:rPr>
        <w:t xml:space="preserve">4.2 Event Selection</w:t>
      </w:r>
    </w:p>
    <w:p w:rsidR="00000000" w:rsidDel="00000000" w:rsidP="00000000" w:rsidRDefault="00000000" w:rsidRPr="00000000" w14:paraId="0000008C">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event universe is restricted to semiconductor or semiconductor-linked geopolitical-policy events. This scope follows directly from the theory and the project’s frozen sample logic. Semiconductors are a most-likely empirical setting for the State Support mechanism because they are strategically important, central to geopolitical competition, and subject to observable state support. The core sample uses a three-tier event structure.</w:t>
      </w:r>
    </w:p>
    <w:p w:rsidR="00000000" w:rsidDel="00000000" w:rsidP="00000000" w:rsidRDefault="00000000" w:rsidRPr="00000000" w14:paraId="0000008D">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the main analysis focuses on direct named semiconductor state-support events. These events must involve a semiconductor or semiconductor-linked strategic sector, clear geopolitical or strategic industrial-policy framing, direct state support, a named beneficiary or clearly named public parent, a publicly dated announcement, and a visible public-market asset.</w:t>
      </w:r>
    </w:p>
    <w:p w:rsidR="00000000" w:rsidDel="00000000" w:rsidP="00000000" w:rsidRDefault="00000000" w:rsidRPr="00000000" w14:paraId="0000008E">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 secondary analysis events include broad support or implementation events that fit the theory but have weaker identification. These events may be broad, anticipated, smaller in materiality, or less cleanly linked to a specific market reaction.</w:t>
      </w:r>
    </w:p>
    <w:p w:rsidR="00000000" w:rsidDel="00000000" w:rsidP="00000000" w:rsidRDefault="00000000" w:rsidRPr="00000000" w14:paraId="0000008F">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Third, contrast cases include threat-dominant semiconductor geopolitical events without direct state support. These events are useful because the theory distinguishes the support pathway from the threat pathway. However, contrast cases are not the primary support-event test.</w:t>
      </w:r>
    </w:p>
    <w:p w:rsidR="00000000" w:rsidDel="00000000" w:rsidP="00000000" w:rsidRDefault="00000000" w:rsidRPr="00000000" w14:paraId="00000090">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direct support events identified in the core sample include Intel CHIPS Act preliminary terms, TSMC Arizona CHIPS Act preliminary terms, Samsung CHIPS Act preliminary terms if measurement is feasible, and Micron CHIPS Act preliminary agreement. The validated primary empirical core used for the locked primary results consists of E009 / INTC, E010 / TSM, and E012 / MU.</w:t>
      </w:r>
    </w:p>
    <w:p w:rsidR="00000000" w:rsidDel="00000000" w:rsidP="00000000" w:rsidRDefault="00000000" w:rsidRPr="00000000" w14:paraId="00000091">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event selection rule is not based on observed returns. The project explicitly avoids selecting events because they are known to have moved markets. The logic is to identify theoretically relevant state-support events before calculating or interpreting abnormal returns.</w:t>
      </w:r>
    </w:p>
    <w:p w:rsidR="00000000" w:rsidDel="00000000" w:rsidP="00000000" w:rsidRDefault="00000000" w:rsidRPr="00000000" w14:paraId="00000092">
      <w:pPr>
        <w:pStyle w:val="Heading4"/>
        <w:spacing w:before="200" w:lineRule="auto"/>
        <w:rPr>
          <w:rFonts w:ascii="Times New Roman" w:cs="Times New Roman" w:eastAsia="Times New Roman" w:hAnsi="Times New Roman"/>
          <w:color w:val="000000"/>
        </w:rPr>
      </w:pPr>
      <w:bookmarkStart w:colFirst="0" w:colLast="0" w:name="_2vvy1wxjqx83" w:id="32"/>
      <w:bookmarkEnd w:id="32"/>
      <w:r w:rsidDel="00000000" w:rsidR="00000000" w:rsidRPr="00000000">
        <w:rPr>
          <w:rFonts w:ascii="Times New Roman" w:cs="Times New Roman" w:eastAsia="Times New Roman" w:hAnsi="Times New Roman"/>
          <w:color w:val="000000"/>
          <w:rtl w:val="0"/>
        </w:rPr>
        <w:t xml:space="preserve">4.3 Coding Protocol</w:t>
      </w:r>
    </w:p>
    <w:p w:rsidR="00000000" w:rsidDel="00000000" w:rsidP="00000000" w:rsidRDefault="00000000" w:rsidRPr="00000000" w14:paraId="00000093">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coding protocol separates event-level information, asset-level information, and event-asset links. This structure is necessary because the theory predicts heterogeneous effects across firms. A single event may affect named beneficiaries, sector peers, benchmarks, and threat-exposed firms differently.</w:t>
      </w:r>
    </w:p>
    <w:p w:rsidR="00000000" w:rsidDel="00000000" w:rsidP="00000000" w:rsidRDefault="00000000" w:rsidRPr="00000000" w14:paraId="00000094">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Events are coded in </w:t>
      </w:r>
      <w:r w:rsidDel="00000000" w:rsidR="00000000" w:rsidRPr="00000000">
        <w:rPr>
          <w:rFonts w:ascii="Times New Roman" w:cs="Times New Roman" w:eastAsia="Times New Roman" w:hAnsi="Times New Roman"/>
          <w:sz w:val="24"/>
          <w:szCs w:val="24"/>
          <w:rtl w:val="0"/>
        </w:rPr>
        <w:t xml:space="preserve">events.csv</w:t>
      </w:r>
      <w:r w:rsidDel="00000000" w:rsidR="00000000" w:rsidRPr="00000000">
        <w:rPr>
          <w:rFonts w:ascii="Times New Roman" w:cs="Times New Roman" w:eastAsia="Times New Roman" w:hAnsi="Times New Roman"/>
          <w:sz w:val="24"/>
          <w:szCs w:val="24"/>
          <w:rtl w:val="0"/>
        </w:rPr>
        <w:t xml:space="preserve">. Event-level fields include event date, event name, event type, policy subtype, country or region, sector, geopolitical competition link, strategic importance, state support, support type, support directness, support credibility, threat signal, opportunity signal, substitution or reallocation logic, anticipation level, beneficiary visibility, support materiality, event date confidence, confound flags, source URL, and coding notes.</w:t>
      </w:r>
    </w:p>
    <w:p w:rsidR="00000000" w:rsidDel="00000000" w:rsidP="00000000" w:rsidRDefault="00000000" w:rsidRPr="00000000" w14:paraId="00000095">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Assets are coded in </w:t>
      </w:r>
      <w:r w:rsidDel="00000000" w:rsidR="00000000" w:rsidRPr="00000000">
        <w:rPr>
          <w:rFonts w:ascii="Times New Roman" w:cs="Times New Roman" w:eastAsia="Times New Roman" w:hAnsi="Times New Roman"/>
          <w:sz w:val="24"/>
          <w:szCs w:val="24"/>
          <w:rtl w:val="0"/>
        </w:rPr>
        <w:t xml:space="preserve">assets.csv</w:t>
      </w:r>
      <w:r w:rsidDel="00000000" w:rsidR="00000000" w:rsidRPr="00000000">
        <w:rPr>
          <w:rFonts w:ascii="Times New Roman" w:cs="Times New Roman" w:eastAsia="Times New Roman" w:hAnsi="Times New Roman"/>
          <w:sz w:val="24"/>
          <w:szCs w:val="24"/>
          <w:rtl w:val="0"/>
        </w:rPr>
        <w:t xml:space="preserve">. Asset-level fields include asset ID, ticker, asset name, asset type, country, listing region, sector, subsector, benchmark role, strategic asset indicator, public market availability, data feasibility, and notes.</w:t>
      </w:r>
    </w:p>
    <w:p w:rsidR="00000000" w:rsidDel="00000000" w:rsidP="00000000" w:rsidRDefault="00000000" w:rsidRPr="00000000" w14:paraId="00000096">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Event-asset links are coded in </w:t>
      </w:r>
      <w:r w:rsidDel="00000000" w:rsidR="00000000" w:rsidRPr="00000000">
        <w:rPr>
          <w:rFonts w:ascii="Times New Roman" w:cs="Times New Roman" w:eastAsia="Times New Roman" w:hAnsi="Times New Roman"/>
          <w:sz w:val="24"/>
          <w:szCs w:val="24"/>
          <w:rtl w:val="0"/>
        </w:rPr>
        <w:t xml:space="preserve">event_asset_links.csv</w:t>
      </w:r>
      <w:r w:rsidDel="00000000" w:rsidR="00000000" w:rsidRPr="00000000">
        <w:rPr>
          <w:rFonts w:ascii="Times New Roman" w:cs="Times New Roman" w:eastAsia="Times New Roman" w:hAnsi="Times New Roman"/>
          <w:sz w:val="24"/>
          <w:szCs w:val="24"/>
          <w:rtl w:val="0"/>
        </w:rPr>
        <w:t xml:space="preserve">. Link-level fields include event ID, asset ID, exposure role, primary beneficiary status, expected direction, link strength, link basis, analysis role, data feasibility, and pre-outcome link notes.</w:t>
      </w:r>
    </w:p>
    <w:p w:rsidR="00000000" w:rsidDel="00000000" w:rsidP="00000000" w:rsidRDefault="00000000" w:rsidRPr="00000000" w14:paraId="00000097">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coding structure preserves the distinction between named beneficiaries and other linked firms. It also prevents the analysis from treating all firms in a sector as equivalent. The exposure role field identifies whether a firm is a named beneficiary, eligible beneficiary, sector peer, benchmark, threat-exposed firm, or other relevant linked asset. This is essential because the theory expects market reactions to depend on the firm’s relationship to the event.</w:t>
      </w:r>
    </w:p>
    <w:p w:rsidR="00000000" w:rsidDel="00000000" w:rsidP="00000000" w:rsidRDefault="00000000" w:rsidRPr="00000000" w14:paraId="00000098">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protocol also distinguishes state-support events from threat-dominant events. State-support coding captures whether an event includes credible government support. Threat-signal coding captures whether an event imposes restrictions, retaliation risk, uncertainty, or market-access loss. This distinction implements the theory’s dual pathway: geopolitical competition can produce either threat-dominant reactions or state-backed opportunity reactions.</w:t>
      </w:r>
    </w:p>
    <w:p w:rsidR="00000000" w:rsidDel="00000000" w:rsidP="00000000" w:rsidRDefault="00000000" w:rsidRPr="00000000" w14:paraId="00000099">
      <w:pPr>
        <w:pStyle w:val="Heading4"/>
        <w:spacing w:before="200" w:lineRule="auto"/>
        <w:rPr>
          <w:rFonts w:ascii="Times New Roman" w:cs="Times New Roman" w:eastAsia="Times New Roman" w:hAnsi="Times New Roman"/>
          <w:color w:val="000000"/>
        </w:rPr>
      </w:pPr>
      <w:bookmarkStart w:colFirst="0" w:colLast="0" w:name="_c1vvylw4udsy" w:id="33"/>
      <w:bookmarkEnd w:id="33"/>
      <w:r w:rsidDel="00000000" w:rsidR="00000000" w:rsidRPr="00000000">
        <w:rPr>
          <w:rFonts w:ascii="Times New Roman" w:cs="Times New Roman" w:eastAsia="Times New Roman" w:hAnsi="Times New Roman"/>
          <w:color w:val="000000"/>
          <w:rtl w:val="0"/>
        </w:rPr>
        <w:t xml:space="preserve">4.4 Dataset Architecture</w:t>
      </w:r>
    </w:p>
    <w:p w:rsidR="00000000" w:rsidDel="00000000" w:rsidP="00000000" w:rsidRDefault="00000000" w:rsidRPr="00000000" w14:paraId="0000009A">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dataset is organised around the event-asset pair. This unit of analysis is necessary because the same event may have different implications for different firms. For example, a state-support announcement may name one beneficiary while also affecting competitors, suppliers, benchmarks, or sector peers. The dataset contains 5 core components.</w:t>
      </w:r>
    </w:p>
    <w:p w:rsidR="00000000" w:rsidDel="00000000" w:rsidP="00000000" w:rsidRDefault="00000000" w:rsidRPr="00000000" w14:paraId="0000009B">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first component is </w:t>
      </w:r>
      <w:r w:rsidDel="00000000" w:rsidR="00000000" w:rsidRPr="00000000">
        <w:rPr>
          <w:rFonts w:ascii="Times New Roman" w:cs="Times New Roman" w:eastAsia="Times New Roman" w:hAnsi="Times New Roman"/>
          <w:sz w:val="24"/>
          <w:szCs w:val="24"/>
          <w:rtl w:val="0"/>
        </w:rPr>
        <w:t xml:space="preserve">events.csv</w:t>
      </w:r>
      <w:r w:rsidDel="00000000" w:rsidR="00000000" w:rsidRPr="00000000">
        <w:rPr>
          <w:rFonts w:ascii="Times New Roman" w:cs="Times New Roman" w:eastAsia="Times New Roman" w:hAnsi="Times New Roman"/>
          <w:sz w:val="24"/>
          <w:szCs w:val="24"/>
          <w:rtl w:val="0"/>
        </w:rPr>
        <w:t xml:space="preserve">, which records the event universe and event-level coding. This file defines the policy events, dates, event types, strategic framing, support coding, threat coding, and source information. The second component is </w:t>
      </w:r>
      <w:r w:rsidDel="00000000" w:rsidR="00000000" w:rsidRPr="00000000">
        <w:rPr>
          <w:rFonts w:ascii="Times New Roman" w:cs="Times New Roman" w:eastAsia="Times New Roman" w:hAnsi="Times New Roman"/>
          <w:sz w:val="24"/>
          <w:szCs w:val="24"/>
          <w:rtl w:val="0"/>
        </w:rPr>
        <w:t xml:space="preserve">assets.csv</w:t>
      </w:r>
      <w:r w:rsidDel="00000000" w:rsidR="00000000" w:rsidRPr="00000000">
        <w:rPr>
          <w:rFonts w:ascii="Times New Roman" w:cs="Times New Roman" w:eastAsia="Times New Roman" w:hAnsi="Times New Roman"/>
          <w:sz w:val="24"/>
          <w:szCs w:val="24"/>
          <w:rtl w:val="0"/>
        </w:rPr>
        <w:t xml:space="preserve">, which records tradable assets and benchmark series. It identifies focal firms, public-market availability, listing region, and benchmark roles. The third component is </w:t>
      </w:r>
      <w:r w:rsidDel="00000000" w:rsidR="00000000" w:rsidRPr="00000000">
        <w:rPr>
          <w:rFonts w:ascii="Times New Roman" w:cs="Times New Roman" w:eastAsia="Times New Roman" w:hAnsi="Times New Roman"/>
          <w:sz w:val="24"/>
          <w:szCs w:val="24"/>
          <w:rtl w:val="0"/>
        </w:rPr>
        <w:t xml:space="preserve">event_asset_links.csv</w:t>
      </w:r>
      <w:r w:rsidDel="00000000" w:rsidR="00000000" w:rsidRPr="00000000">
        <w:rPr>
          <w:rFonts w:ascii="Times New Roman" w:cs="Times New Roman" w:eastAsia="Times New Roman" w:hAnsi="Times New Roman"/>
          <w:sz w:val="24"/>
          <w:szCs w:val="24"/>
          <w:rtl w:val="0"/>
        </w:rPr>
        <w:t xml:space="preserve">, which maps events to assets. It records the exposure relationship between each event and each firm or benchmark. This file is central to the design because it freezes the firm-event relationships before returns are interpreted. The fourth component is </w:t>
      </w:r>
      <w:r w:rsidDel="00000000" w:rsidR="00000000" w:rsidRPr="00000000">
        <w:rPr>
          <w:rFonts w:ascii="Times New Roman" w:cs="Times New Roman" w:eastAsia="Times New Roman" w:hAnsi="Times New Roman"/>
          <w:sz w:val="24"/>
          <w:szCs w:val="24"/>
          <w:rtl w:val="0"/>
        </w:rPr>
        <w:t xml:space="preserve">market_returns.csv</w:t>
      </w:r>
      <w:r w:rsidDel="00000000" w:rsidR="00000000" w:rsidRPr="00000000">
        <w:rPr>
          <w:rFonts w:ascii="Times New Roman" w:cs="Times New Roman" w:eastAsia="Times New Roman" w:hAnsi="Times New Roman"/>
          <w:sz w:val="24"/>
          <w:szCs w:val="24"/>
          <w:rtl w:val="0"/>
        </w:rPr>
        <w:t xml:space="preserve">, a generated return panel. It records adjusted close prices and daily returns for the relevant assets and benchmarks. This file is an intermediate output of the event-study workflow. The fifth component is </w:t>
      </w:r>
      <w:r w:rsidDel="00000000" w:rsidR="00000000" w:rsidRPr="00000000">
        <w:rPr>
          <w:rFonts w:ascii="Times New Roman" w:cs="Times New Roman" w:eastAsia="Times New Roman" w:hAnsi="Times New Roman"/>
          <w:sz w:val="24"/>
          <w:szCs w:val="24"/>
          <w:rtl w:val="0"/>
        </w:rPr>
        <w:t xml:space="preserve">event_firm_returns.csv</w:t>
      </w:r>
      <w:r w:rsidDel="00000000" w:rsidR="00000000" w:rsidRPr="00000000">
        <w:rPr>
          <w:rFonts w:ascii="Times New Roman" w:cs="Times New Roman" w:eastAsia="Times New Roman" w:hAnsi="Times New Roman"/>
          <w:sz w:val="24"/>
          <w:szCs w:val="24"/>
          <w:rtl w:val="0"/>
        </w:rPr>
        <w:t xml:space="preserve">, the event-study output file. It records event-day returns, adjusted abnormal returns, cumulative abnormal returns over multiple windows, event-window coverage, data-quality flags, and calculation notes.</w:t>
      </w:r>
    </w:p>
    <w:p w:rsidR="00000000" w:rsidDel="00000000" w:rsidP="00000000" w:rsidRDefault="00000000" w:rsidRPr="00000000" w14:paraId="0000009C">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dataset architecture is designed for transparency rather than large-N inference. It allows each event-firm row to be traced back to the event definition, asset definition, link coding, price data, and calculated return outcome.</w:t>
      </w:r>
    </w:p>
    <w:p w:rsidR="00000000" w:rsidDel="00000000" w:rsidP="00000000" w:rsidRDefault="00000000" w:rsidRPr="00000000" w14:paraId="0000009D">
      <w:pPr>
        <w:pStyle w:val="Heading4"/>
        <w:spacing w:before="200" w:lineRule="auto"/>
        <w:rPr>
          <w:rFonts w:ascii="Times New Roman" w:cs="Times New Roman" w:eastAsia="Times New Roman" w:hAnsi="Times New Roman"/>
          <w:color w:val="000000"/>
        </w:rPr>
      </w:pPr>
      <w:bookmarkStart w:colFirst="0" w:colLast="0" w:name="_9en8h093ho4n" w:id="34"/>
      <w:bookmarkEnd w:id="34"/>
      <w:r w:rsidDel="00000000" w:rsidR="00000000" w:rsidRPr="00000000">
        <w:rPr>
          <w:rFonts w:ascii="Times New Roman" w:cs="Times New Roman" w:eastAsia="Times New Roman" w:hAnsi="Times New Roman"/>
          <w:color w:val="000000"/>
          <w:rtl w:val="0"/>
        </w:rPr>
        <w:t xml:space="preserve">4.5 Event-Study Design</w:t>
      </w:r>
    </w:p>
    <w:p w:rsidR="00000000" w:rsidDel="00000000" w:rsidP="00000000" w:rsidRDefault="00000000" w:rsidRPr="00000000" w14:paraId="0000009E">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dissertation uses an event-study design to measure short-window market reactions around policy announcements. The purpose is to evaluate whether investors reacted to state-support announcements in a way consistent with the State Support mechanism. Event-study methodology is appropriate because the project examines identifiable announcements and short-window abnormal returns, while also recognizing that policy events can be anticipated or confounded (Brown &amp; Warner, 1985; Kothari &amp; Warner, 2007; MacKinlay, 1997).</w:t>
      </w:r>
    </w:p>
    <w:p w:rsidR="00000000" w:rsidDel="00000000" w:rsidP="00000000" w:rsidRDefault="00000000" w:rsidRPr="00000000" w14:paraId="0000009F">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design uses the event date recorded in </w:t>
      </w:r>
      <w:r w:rsidDel="00000000" w:rsidR="00000000" w:rsidRPr="00000000">
        <w:rPr>
          <w:rFonts w:ascii="Times New Roman" w:cs="Times New Roman" w:eastAsia="Times New Roman" w:hAnsi="Times New Roman"/>
          <w:sz w:val="24"/>
          <w:szCs w:val="24"/>
          <w:rtl w:val="0"/>
        </w:rPr>
        <w:t xml:space="preserve">events.csv</w:t>
      </w:r>
      <w:r w:rsidDel="00000000" w:rsidR="00000000" w:rsidRPr="00000000">
        <w:rPr>
          <w:rFonts w:ascii="Times New Roman" w:cs="Times New Roman" w:eastAsia="Times New Roman" w:hAnsi="Times New Roman"/>
          <w:sz w:val="24"/>
          <w:szCs w:val="24"/>
          <w:rtl w:val="0"/>
        </w:rPr>
        <w:t xml:space="preserve">. For US and ADR assets, the event trading date is the first trading day on or after the event date. For conditional foreign-market assets, the workflow uses a transparent timing rule when implemented. The validated primary core uses US-listed or ADR assets, and each primary event is aligned to the first trading day on or after the event date.</w:t>
      </w:r>
    </w:p>
    <w:p w:rsidR="00000000" w:rsidDel="00000000" w:rsidP="00000000" w:rsidRDefault="00000000" w:rsidRPr="00000000" w14:paraId="000000A0">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event-study design reports raw returns and adjusted returns. The most important adjustment is the semiconductor-sector benchmark adjustment. SMH is used as the preferred semiconductor-sector benchmark when available. SPY is used as a broad market benchmark, and QQQ is used as a technology-heavy benchmark comparison.</w:t>
      </w:r>
    </w:p>
    <w:p w:rsidR="00000000" w:rsidDel="00000000" w:rsidP="00000000" w:rsidRDefault="00000000" w:rsidRPr="00000000" w14:paraId="000000A1">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sector adjustment is central to the design. A named beneficiary may rise because the entire semiconductor sector rose, not because investors interpreted state support as firm-specific opportunity. The sector-adjusted return therefore provides a stricter test than broad market adjustment alone. This choice applies the event-study principle that the benchmark should help separate event-specific information from broader market or sector movement (Campbell et al., 1997; MacKinlay, 1997).</w:t>
      </w:r>
    </w:p>
    <w:p w:rsidR="00000000" w:rsidDel="00000000" w:rsidP="00000000" w:rsidRDefault="00000000" w:rsidRPr="00000000" w14:paraId="000000A2">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design does not claim random assignment. Beneficiaries of state support are selected by policymakers, and policy announcements may be anticipated. The event study therefore measures market reactions around observable announcements. It does not prove that state support caused firm value changes independently of selection, anticipation, or other market conditions.</w:t>
      </w:r>
    </w:p>
    <w:p w:rsidR="00000000" w:rsidDel="00000000" w:rsidP="00000000" w:rsidRDefault="00000000" w:rsidRPr="00000000" w14:paraId="000000A3">
      <w:pPr>
        <w:pStyle w:val="Heading4"/>
        <w:spacing w:before="200" w:lineRule="auto"/>
        <w:rPr>
          <w:rFonts w:ascii="Times New Roman" w:cs="Times New Roman" w:eastAsia="Times New Roman" w:hAnsi="Times New Roman"/>
          <w:color w:val="000000"/>
        </w:rPr>
      </w:pPr>
      <w:bookmarkStart w:colFirst="0" w:colLast="0" w:name="_57x0zzwwsyn" w:id="35"/>
      <w:bookmarkEnd w:id="35"/>
      <w:r w:rsidDel="00000000" w:rsidR="00000000" w:rsidRPr="00000000">
        <w:rPr>
          <w:rFonts w:ascii="Times New Roman" w:cs="Times New Roman" w:eastAsia="Times New Roman" w:hAnsi="Times New Roman"/>
          <w:color w:val="000000"/>
          <w:rtl w:val="0"/>
        </w:rPr>
        <w:t xml:space="preserve">4.6 Outcome Variables</w:t>
      </w:r>
    </w:p>
    <w:p w:rsidR="00000000" w:rsidDel="00000000" w:rsidP="00000000" w:rsidRDefault="00000000" w:rsidRPr="00000000" w14:paraId="000000A4">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pre-committed primary outcome is: car_sector_m1_p1. This variable measures the cumulative abnormal return over the [-1,+1] window after subtracting the semiconductor-sector benchmark return. It is the primary mechanism outcome because it asks whether the named beneficiary outperformed the semiconductor-sector benchmark in the short event window.</w:t>
      </w:r>
    </w:p>
    <w:p w:rsidR="00000000" w:rsidDel="00000000" w:rsidP="00000000" w:rsidRDefault="00000000" w:rsidRPr="00000000" w14:paraId="000000A5">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Secondary and descriptive outcomes include event-day return, sector-adjusted event-day abnormal return, market-adjusted event-day abnormal return, technology-benchmark-adjusted event-day abnormal return, market-adjusted CAR[-1,+1], technology-adjusted CAR[-1,+1], sector-adjusted CAR[-3,+3], market-adjusted CAR[-3,+3], sector-adjusted CAR[-7,+7], and market-adjusted CAR[-7,+7].</w:t>
      </w:r>
    </w:p>
    <w:p w:rsidR="00000000" w:rsidDel="00000000" w:rsidP="00000000" w:rsidRDefault="00000000" w:rsidRPr="00000000" w14:paraId="000000A6">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wider windows are descriptive. They may provide context about the persistence or reversal of event-window movements, but they do not replace the primary outcome. The primary evidence classification is based on </w:t>
      </w:r>
      <w:r w:rsidDel="00000000" w:rsidR="00000000" w:rsidRPr="00000000">
        <w:rPr>
          <w:rFonts w:ascii="Times New Roman" w:cs="Times New Roman" w:eastAsia="Times New Roman" w:hAnsi="Times New Roman"/>
          <w:sz w:val="24"/>
          <w:szCs w:val="24"/>
          <w:rtl w:val="0"/>
        </w:rPr>
        <w:t xml:space="preserve">car_sector_m1_p1</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7">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This distinction is important because wider windows are more exposed to confounding news, sector movement, earnings expectations, macroeconomic conditions, and anticipation effects. The research design therefore prioritises the short sector-adjusted window while reporting other measures only as supplementary evidence. The treatment of wider windows as descriptive follows the event-study caution that longer windows can make attribution more difficult (Kothari &amp; Warner, 2007; MacKinlay, 1997).</w:t>
      </w:r>
    </w:p>
    <w:p w:rsidR="00000000" w:rsidDel="00000000" w:rsidP="00000000" w:rsidRDefault="00000000" w:rsidRPr="00000000" w14:paraId="000000A8">
      <w:pPr>
        <w:pStyle w:val="Heading4"/>
        <w:spacing w:before="200" w:lineRule="auto"/>
        <w:rPr>
          <w:rFonts w:ascii="Times New Roman" w:cs="Times New Roman" w:eastAsia="Times New Roman" w:hAnsi="Times New Roman"/>
          <w:color w:val="000000"/>
        </w:rPr>
      </w:pPr>
      <w:bookmarkStart w:colFirst="0" w:colLast="0" w:name="_u9p6snwi3588" w:id="36"/>
      <w:bookmarkEnd w:id="36"/>
      <w:r w:rsidDel="00000000" w:rsidR="00000000" w:rsidRPr="00000000">
        <w:rPr>
          <w:rFonts w:ascii="Times New Roman" w:cs="Times New Roman" w:eastAsia="Times New Roman" w:hAnsi="Times New Roman"/>
          <w:color w:val="000000"/>
          <w:rtl w:val="0"/>
        </w:rPr>
        <w:t xml:space="preserve">4.7 Evidence Classification</w:t>
      </w:r>
    </w:p>
    <w:p w:rsidR="00000000" w:rsidDel="00000000" w:rsidP="00000000" w:rsidRDefault="00000000" w:rsidRPr="00000000" w14:paraId="000000A9">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pre-data commitment defines how primary evidence is classified. The primary evidence variable is </w:t>
      </w:r>
      <w:r w:rsidDel="00000000" w:rsidR="00000000" w:rsidRPr="00000000">
        <w:rPr>
          <w:rFonts w:ascii="Times New Roman" w:cs="Times New Roman" w:eastAsia="Times New Roman" w:hAnsi="Times New Roman"/>
          <w:sz w:val="24"/>
          <w:szCs w:val="24"/>
          <w:rtl w:val="0"/>
        </w:rPr>
        <w:t xml:space="preserve">car_sector_m1_p1</w:t>
      </w:r>
      <w:r w:rsidDel="00000000" w:rsidR="00000000" w:rsidRPr="00000000">
        <w:rPr>
          <w:rFonts w:ascii="Times New Roman" w:cs="Times New Roman" w:eastAsia="Times New Roman" w:hAnsi="Times New Roman"/>
          <w:sz w:val="24"/>
          <w:szCs w:val="24"/>
          <w:rtl w:val="0"/>
        </w:rPr>
        <w:t xml:space="preserve">. A named beneficiary must show a positive sector-adjusted CAR[-1,+1] to count as supportive evidence. The classification thresholds used in the locked evidence package are:</w:t>
      </w:r>
    </w:p>
    <w:p w:rsidR="00000000" w:rsidDel="00000000" w:rsidP="00000000" w:rsidRDefault="00000000" w:rsidRPr="00000000" w14:paraId="000000AA">
      <w:pPr>
        <w:numPr>
          <w:ilvl w:val="0"/>
          <w:numId w:val="1"/>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Supportive: </w:t>
      </w:r>
      <w:r w:rsidDel="00000000" w:rsidR="00000000" w:rsidRPr="00000000">
        <w:rPr>
          <w:rFonts w:ascii="Times New Roman" w:cs="Times New Roman" w:eastAsia="Times New Roman" w:hAnsi="Times New Roman"/>
          <w:sz w:val="24"/>
          <w:szCs w:val="24"/>
          <w:rtl w:val="0"/>
        </w:rPr>
        <w:t xml:space="preserve">car_sector_m1_p1</w:t>
      </w:r>
      <w:r w:rsidDel="00000000" w:rsidR="00000000" w:rsidRPr="00000000">
        <w:rPr>
          <w:rFonts w:ascii="Times New Roman" w:cs="Times New Roman" w:eastAsia="Times New Roman" w:hAnsi="Times New Roman"/>
          <w:sz w:val="24"/>
          <w:szCs w:val="24"/>
          <w:rtl w:val="0"/>
        </w:rPr>
        <w:t xml:space="preserve"> greater than +0.25 percentage points.</w:t>
      </w:r>
    </w:p>
    <w:p w:rsidR="00000000" w:rsidDel="00000000" w:rsidP="00000000" w:rsidRDefault="00000000" w:rsidRPr="00000000" w14:paraId="000000AB">
      <w:pPr>
        <w:numPr>
          <w:ilvl w:val="0"/>
          <w:numId w:val="1"/>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Null: </w:t>
      </w:r>
      <w:r w:rsidDel="00000000" w:rsidR="00000000" w:rsidRPr="00000000">
        <w:rPr>
          <w:rFonts w:ascii="Times New Roman" w:cs="Times New Roman" w:eastAsia="Times New Roman" w:hAnsi="Times New Roman"/>
          <w:sz w:val="24"/>
          <w:szCs w:val="24"/>
          <w:rtl w:val="0"/>
        </w:rPr>
        <w:t xml:space="preserve">car_sector_m1_p1</w:t>
      </w:r>
      <w:r w:rsidDel="00000000" w:rsidR="00000000" w:rsidRPr="00000000">
        <w:rPr>
          <w:rFonts w:ascii="Times New Roman" w:cs="Times New Roman" w:eastAsia="Times New Roman" w:hAnsi="Times New Roman"/>
          <w:sz w:val="24"/>
          <w:szCs w:val="24"/>
          <w:rtl w:val="0"/>
        </w:rPr>
        <w:t xml:space="preserve"> between -0.25 and +0.25 percentage points.</w:t>
      </w:r>
    </w:p>
    <w:p w:rsidR="00000000" w:rsidDel="00000000" w:rsidP="00000000" w:rsidRDefault="00000000" w:rsidRPr="00000000" w14:paraId="000000AC">
      <w:pPr>
        <w:numPr>
          <w:ilvl w:val="0"/>
          <w:numId w:val="1"/>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Theory-weakening: </w:t>
      </w:r>
      <w:r w:rsidDel="00000000" w:rsidR="00000000" w:rsidRPr="00000000">
        <w:rPr>
          <w:rFonts w:ascii="Times New Roman" w:cs="Times New Roman" w:eastAsia="Times New Roman" w:hAnsi="Times New Roman"/>
          <w:sz w:val="24"/>
          <w:szCs w:val="24"/>
          <w:rtl w:val="0"/>
        </w:rPr>
        <w:t xml:space="preserve">car_sector_m1_p1</w:t>
      </w:r>
      <w:r w:rsidDel="00000000" w:rsidR="00000000" w:rsidRPr="00000000">
        <w:rPr>
          <w:rFonts w:ascii="Times New Roman" w:cs="Times New Roman" w:eastAsia="Times New Roman" w:hAnsi="Times New Roman"/>
          <w:sz w:val="24"/>
          <w:szCs w:val="24"/>
          <w:rtl w:val="0"/>
        </w:rPr>
        <w:t xml:space="preserve"> less than -0.25 percentage points.</w:t>
      </w:r>
    </w:p>
    <w:p w:rsidR="00000000" w:rsidDel="00000000" w:rsidP="00000000" w:rsidRDefault="00000000" w:rsidRPr="00000000" w14:paraId="000000AD">
      <w:pPr>
        <w:spacing w:after="0" w:before="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This classification rule is designed to prevent post hoc reinterpretation. If a named beneficiary does not outperform the semiconductor benchmark, the result cannot be rescued by pointing only to broad-market outperformance or wider-window movement. Anticipation, support-as-weakness, and market complexity may be discussed as limitations, but they do not change the classification of the primary outcome. This rule operationalises the dissertation's commitment to transparency and restricted analytic flexibility (Gelman &amp; Loken, 2014; Nosek et al., 2018; Simmons et al., 2011).</w:t>
      </w:r>
    </w:p>
    <w:p w:rsidR="00000000" w:rsidDel="00000000" w:rsidP="00000000" w:rsidRDefault="00000000" w:rsidRPr="00000000" w14:paraId="000000AE">
      <w:pPr>
        <w:pStyle w:val="Heading4"/>
        <w:spacing w:before="200" w:lineRule="auto"/>
        <w:rPr>
          <w:rFonts w:ascii="Times New Roman" w:cs="Times New Roman" w:eastAsia="Times New Roman" w:hAnsi="Times New Roman"/>
          <w:color w:val="000000"/>
        </w:rPr>
      </w:pPr>
      <w:bookmarkStart w:colFirst="0" w:colLast="0" w:name="_kqyd9q54f1g" w:id="37"/>
      <w:bookmarkEnd w:id="37"/>
      <w:r w:rsidDel="00000000" w:rsidR="00000000" w:rsidRPr="00000000">
        <w:rPr>
          <w:rFonts w:ascii="Times New Roman" w:cs="Times New Roman" w:eastAsia="Times New Roman" w:hAnsi="Times New Roman"/>
          <w:color w:val="000000"/>
          <w:rtl w:val="0"/>
        </w:rPr>
        <w:t xml:space="preserve">4.8 Pre-Data Commitment</w:t>
      </w:r>
    </w:p>
    <w:p w:rsidR="00000000" w:rsidDel="00000000" w:rsidP="00000000" w:rsidRDefault="00000000" w:rsidRPr="00000000" w14:paraId="000000AF">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pre-data commitment binds the empirical interpretation before market returns are evaluated. It identifies the primary outcome, the core sample, the classification logic, and the role of secondary outcomes.</w:t>
      </w:r>
    </w:p>
    <w:p w:rsidR="00000000" w:rsidDel="00000000" w:rsidP="00000000" w:rsidRDefault="00000000" w:rsidRPr="00000000" w14:paraId="000000B0">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core commitment is that </w:t>
      </w:r>
      <w:r w:rsidDel="00000000" w:rsidR="00000000" w:rsidRPr="00000000">
        <w:rPr>
          <w:rFonts w:ascii="Times New Roman" w:cs="Times New Roman" w:eastAsia="Times New Roman" w:hAnsi="Times New Roman"/>
          <w:sz w:val="24"/>
          <w:szCs w:val="24"/>
          <w:rtl w:val="0"/>
        </w:rPr>
        <w:t xml:space="preserve">car_sector_m1_p1</w:t>
      </w:r>
      <w:r w:rsidDel="00000000" w:rsidR="00000000" w:rsidRPr="00000000">
        <w:rPr>
          <w:rFonts w:ascii="Times New Roman" w:cs="Times New Roman" w:eastAsia="Times New Roman" w:hAnsi="Times New Roman"/>
          <w:sz w:val="24"/>
          <w:szCs w:val="24"/>
          <w:rtl w:val="0"/>
        </w:rPr>
        <w:t xml:space="preserve"> is the primary outcome for the main support-event test. Positive SPY-adjusted returns that disappear against SMH are not treated as strong evidence. Export-control, Entity List, and retaliation events are contrast cases only and are not part of the main support-event test.</w:t>
      </w:r>
    </w:p>
    <w:p w:rsidR="00000000" w:rsidDel="00000000" w:rsidP="00000000" w:rsidRDefault="00000000" w:rsidRPr="00000000" w14:paraId="000000B1">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pre-data commitment also specifies that secondary outcomes can clarify timing and robustness but cannot overturn the primary outcome. This prevents the analysis from shifting to whichever return window produces the most favorable result after observing the data.</w:t>
      </w:r>
    </w:p>
    <w:p w:rsidR="00000000" w:rsidDel="00000000" w:rsidP="00000000" w:rsidRDefault="00000000" w:rsidRPr="00000000" w14:paraId="000000B2">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purpose of the pre-data commitment is not to eliminate all ambiguity. Event studies of policy announcements remain vulnerable to anticipation, bundling, and confounding market conditions. The commitment instead ensures that the dissertation evaluates evidence according to rules specified before interpreting returns.</w:t>
      </w:r>
    </w:p>
    <w:p w:rsidR="00000000" w:rsidDel="00000000" w:rsidP="00000000" w:rsidRDefault="00000000" w:rsidRPr="00000000" w14:paraId="000000B3">
      <w:pPr>
        <w:pStyle w:val="Heading4"/>
        <w:spacing w:before="200" w:lineRule="auto"/>
        <w:rPr>
          <w:rFonts w:ascii="Times New Roman" w:cs="Times New Roman" w:eastAsia="Times New Roman" w:hAnsi="Times New Roman"/>
          <w:color w:val="000000"/>
        </w:rPr>
      </w:pPr>
      <w:bookmarkStart w:colFirst="0" w:colLast="0" w:name="_rwnrqpv1sqtt" w:id="38"/>
      <w:bookmarkEnd w:id="38"/>
      <w:r w:rsidDel="00000000" w:rsidR="00000000" w:rsidRPr="00000000">
        <w:rPr>
          <w:rFonts w:ascii="Times New Roman" w:cs="Times New Roman" w:eastAsia="Times New Roman" w:hAnsi="Times New Roman"/>
          <w:color w:val="000000"/>
          <w:rtl w:val="0"/>
        </w:rPr>
        <w:t xml:space="preserve">4.9 Validity Threats</w:t>
      </w:r>
    </w:p>
    <w:p w:rsidR="00000000" w:rsidDel="00000000" w:rsidP="00000000" w:rsidRDefault="00000000" w:rsidRPr="00000000" w14:paraId="000000B4">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Several validity threats are built into the research design. First, policy announcements may be anticipated. CHIPS Act support events often followed negotiations, press reports, prior investment plans, and legislative debate. A weak or negative event-window reaction may reflect prior pricing rather than absence of support value.</w:t>
      </w:r>
    </w:p>
    <w:p w:rsidR="00000000" w:rsidDel="00000000" w:rsidP="00000000" w:rsidRDefault="00000000" w:rsidRPr="00000000" w14:paraId="000000B5">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Second, the semiconductor and AI cycle may confound market reactions. Semiconductor firms in 2023 and 2024 were affected by demand expectations, AI investment, capacity cycles, and earnings revisions. Sector adjustment using SMH reduces but does not eliminate this concern. Third, state support may signal weakness rather than opportunity. A firm receiving public support may be viewed as strategically important but commercially challenged. The design treats underperformance relative to sector benchmarks as theory-weakening for the event rather than explaining it away. These issues are consistent with standard event-study concerns about confounding information and benchmark choice (Brown &amp; Warner, 1985; Kothari &amp; Warner, 2007).</w:t>
      </w:r>
    </w:p>
    <w:p w:rsidR="00000000" w:rsidDel="00000000" w:rsidP="00000000" w:rsidRDefault="00000000" w:rsidRPr="00000000" w14:paraId="000000B6">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Fourth, the sample is small. The dissertation does not make large-N statistical claims. It presents a transparent, event-by-event test of the State Support mechanism in a most-likely sector. Fifth, beneficiary selection is unavoidable. Firms receiving support are not randomly assigned. The project therefore tests market interpretation of state selection and support rather than claiming random treatment effects.</w:t>
      </w:r>
    </w:p>
    <w:p w:rsidR="00000000" w:rsidDel="00000000" w:rsidP="00000000" w:rsidRDefault="00000000" w:rsidRPr="00000000" w14:paraId="000000B7">
      <w:pPr>
        <w:pStyle w:val="Heading4"/>
        <w:spacing w:before="200" w:lineRule="auto"/>
        <w:rPr>
          <w:rFonts w:ascii="Times New Roman" w:cs="Times New Roman" w:eastAsia="Times New Roman" w:hAnsi="Times New Roman"/>
          <w:color w:val="000000"/>
        </w:rPr>
      </w:pPr>
      <w:bookmarkStart w:colFirst="0" w:colLast="0" w:name="_72ngcv9dcxw3" w:id="39"/>
      <w:bookmarkEnd w:id="39"/>
      <w:r w:rsidDel="00000000" w:rsidR="00000000" w:rsidRPr="00000000">
        <w:rPr>
          <w:rFonts w:ascii="Times New Roman" w:cs="Times New Roman" w:eastAsia="Times New Roman" w:hAnsi="Times New Roman"/>
          <w:color w:val="000000"/>
          <w:rtl w:val="0"/>
        </w:rPr>
        <w:t xml:space="preserve">4.10 Replication Workflow</w:t>
      </w:r>
    </w:p>
    <w:p w:rsidR="00000000" w:rsidDel="00000000" w:rsidP="00000000" w:rsidRDefault="00000000" w:rsidRPr="00000000" w14:paraId="000000B8">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repository workflow is designed to make the empirical steps transparent. The core input files are </w:t>
      </w:r>
      <w:r w:rsidDel="00000000" w:rsidR="00000000" w:rsidRPr="00000000">
        <w:rPr>
          <w:rFonts w:ascii="Times New Roman" w:cs="Times New Roman" w:eastAsia="Times New Roman" w:hAnsi="Times New Roman"/>
          <w:sz w:val="24"/>
          <w:szCs w:val="24"/>
          <w:rtl w:val="0"/>
        </w:rPr>
        <w:t xml:space="preserve">data/events.csv</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data/assets.csv</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sz w:val="24"/>
          <w:szCs w:val="24"/>
          <w:rtl w:val="0"/>
        </w:rPr>
        <w:t xml:space="preserve">data/event_asset_links.csv</w:t>
      </w:r>
      <w:r w:rsidDel="00000000" w:rsidR="00000000" w:rsidRPr="00000000">
        <w:rPr>
          <w:rFonts w:ascii="Times New Roman" w:cs="Times New Roman" w:eastAsia="Times New Roman" w:hAnsi="Times New Roman"/>
          <w:sz w:val="24"/>
          <w:szCs w:val="24"/>
          <w:rtl w:val="0"/>
        </w:rPr>
        <w:t xml:space="preserve">. Local price files are stored under </w:t>
      </w:r>
      <w:r w:rsidDel="00000000" w:rsidR="00000000" w:rsidRPr="00000000">
        <w:rPr>
          <w:rFonts w:ascii="Times New Roman" w:cs="Times New Roman" w:eastAsia="Times New Roman" w:hAnsi="Times New Roman"/>
          <w:sz w:val="24"/>
          <w:szCs w:val="24"/>
          <w:rtl w:val="0"/>
        </w:rPr>
        <w:t xml:space="preserve">data/raw_prices/</w:t>
      </w:r>
      <w:r w:rsidDel="00000000" w:rsidR="00000000" w:rsidRPr="00000000">
        <w:rPr>
          <w:rFonts w:ascii="Times New Roman" w:cs="Times New Roman" w:eastAsia="Times New Roman" w:hAnsi="Times New Roman"/>
          <w:sz w:val="24"/>
          <w:szCs w:val="24"/>
          <w:rtl w:val="0"/>
        </w:rPr>
        <w:t xml:space="preserve"> when used. The event-study script is </w:t>
      </w:r>
      <w:r w:rsidDel="00000000" w:rsidR="00000000" w:rsidRPr="00000000">
        <w:rPr>
          <w:rFonts w:ascii="Times New Roman" w:cs="Times New Roman" w:eastAsia="Times New Roman" w:hAnsi="Times New Roman"/>
          <w:sz w:val="24"/>
          <w:szCs w:val="24"/>
          <w:rtl w:val="0"/>
        </w:rPr>
        <w:t xml:space="preserve">scripts/build_event_returns.py</w:t>
      </w:r>
      <w:r w:rsidDel="00000000" w:rsidR="00000000" w:rsidRPr="00000000">
        <w:rPr>
          <w:rFonts w:ascii="Times New Roman" w:cs="Times New Roman" w:eastAsia="Times New Roman" w:hAnsi="Times New Roman"/>
          <w:sz w:val="24"/>
          <w:szCs w:val="24"/>
          <w:rtl w:val="0"/>
        </w:rPr>
        <w:t xml:space="preserve">. The pipeline reads the frozen event, asset, and link files; reads local price files; constructs daily returns; calculates event-window outcomes; and writes output files. The expected outputs are </w:t>
      </w:r>
      <w:r w:rsidDel="00000000" w:rsidR="00000000" w:rsidRPr="00000000">
        <w:rPr>
          <w:rFonts w:ascii="Times New Roman" w:cs="Times New Roman" w:eastAsia="Times New Roman" w:hAnsi="Times New Roman"/>
          <w:sz w:val="24"/>
          <w:szCs w:val="24"/>
          <w:rtl w:val="0"/>
        </w:rPr>
        <w:t xml:space="preserve">data/market_returns.csv</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data/event_firm_returns.csv</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sz w:val="24"/>
          <w:szCs w:val="24"/>
          <w:rtl w:val="0"/>
        </w:rPr>
        <w:t xml:space="preserve">data/local_price_validation_report.md</w:t>
      </w:r>
      <w:r w:rsidDel="00000000" w:rsidR="00000000" w:rsidRPr="00000000">
        <w:rPr>
          <w:rFonts w:ascii="Times New Roman" w:cs="Times New Roman" w:eastAsia="Times New Roman" w:hAnsi="Times New Roman"/>
          <w:sz w:val="24"/>
          <w:szCs w:val="24"/>
          <w:rtl w:val="0"/>
        </w:rPr>
        <w:t xml:space="preserve">. The validation report records file coverage, missing or unusable files, output counts, event-window coverage, rows successfully calculated, rows still missing, and schema/key validation. This report is part of the evidence package because it documents whether the empirical results are based on complete and clean data inputs.</w:t>
      </w:r>
    </w:p>
    <w:p w:rsidR="00000000" w:rsidDel="00000000" w:rsidP="00000000" w:rsidRDefault="00000000" w:rsidRPr="00000000" w14:paraId="000000B9">
      <w:pPr>
        <w:pStyle w:val="Heading4"/>
        <w:spacing w:before="200" w:lineRule="auto"/>
        <w:rPr>
          <w:rFonts w:ascii="Times New Roman" w:cs="Times New Roman" w:eastAsia="Times New Roman" w:hAnsi="Times New Roman"/>
          <w:color w:val="000000"/>
        </w:rPr>
      </w:pPr>
      <w:bookmarkStart w:colFirst="0" w:colLast="0" w:name="_aihjshrwufmp" w:id="40"/>
      <w:bookmarkEnd w:id="40"/>
      <w:r w:rsidDel="00000000" w:rsidR="00000000" w:rsidRPr="00000000">
        <w:rPr>
          <w:rFonts w:ascii="Times New Roman" w:cs="Times New Roman" w:eastAsia="Times New Roman" w:hAnsi="Times New Roman"/>
          <w:color w:val="000000"/>
          <w:rtl w:val="0"/>
        </w:rPr>
        <w:t xml:space="preserve">4.11 Chapter Summary</w:t>
      </w:r>
    </w:p>
    <w:p w:rsidR="00000000" w:rsidDel="00000000" w:rsidP="00000000" w:rsidRDefault="00000000" w:rsidRPr="00000000" w14:paraId="000000BA">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chapter has described the research design used to evaluate the frozen State Support mechanism. The design uses a narrow semiconductor event-study framework, freezes event coding and event-asset links before interpretation, prioritises sector-adjusted short-window returns, and classifies evidence according to a pre-data commitment. The design is intentionally modest. It does not estimate the full causal effect of geopolitical competition. It does not claim that state support guarantees long-term firm value. It tests whether named state-support announcements for strategically important semiconductor firms produce short-window market reactions consistent with the frozen theoretical mechanism.</w:t>
      </w:r>
    </w:p>
    <w:p w:rsidR="00000000" w:rsidDel="00000000" w:rsidP="00000000" w:rsidRDefault="00000000" w:rsidRPr="00000000" w14:paraId="000000BB">
      <w:pPr>
        <w:spacing w:after="0" w:before="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C">
      <w:pPr>
        <w:pStyle w:val="Heading3"/>
        <w:spacing w:after="0" w:before="0" w:lineRule="auto"/>
        <w:rPr>
          <w:rFonts w:ascii="Times New Roman" w:cs="Times New Roman" w:eastAsia="Times New Roman" w:hAnsi="Times New Roman"/>
          <w:color w:val="000000"/>
          <w:sz w:val="24"/>
          <w:szCs w:val="24"/>
        </w:rPr>
      </w:pPr>
      <w:bookmarkStart w:colFirst="0" w:colLast="0" w:name="_fwwbx3d60xa" w:id="41"/>
      <w:bookmarkEnd w:id="41"/>
      <w:r w:rsidDel="00000000" w:rsidR="00000000" w:rsidRPr="00000000">
        <w:rPr>
          <w:rFonts w:ascii="Times New Roman" w:cs="Times New Roman" w:eastAsia="Times New Roman" w:hAnsi="Times New Roman"/>
          <w:color w:val="000000"/>
          <w:sz w:val="24"/>
          <w:szCs w:val="24"/>
          <w:rtl w:val="0"/>
        </w:rPr>
        <w:t xml:space="preserve">Chapter 5. Results</w:t>
      </w:r>
    </w:p>
    <w:p w:rsidR="00000000" w:rsidDel="00000000" w:rsidP="00000000" w:rsidRDefault="00000000" w:rsidRPr="00000000" w14:paraId="000000BD">
      <w:pPr>
        <w:pStyle w:val="Heading4"/>
        <w:spacing w:after="0" w:before="0" w:lineRule="auto"/>
        <w:rPr>
          <w:rFonts w:ascii="Times New Roman" w:cs="Times New Roman" w:eastAsia="Times New Roman" w:hAnsi="Times New Roman"/>
          <w:color w:val="000000"/>
        </w:rPr>
      </w:pPr>
      <w:bookmarkStart w:colFirst="0" w:colLast="0" w:name="_nue680klfzo8" w:id="42"/>
      <w:bookmarkEnd w:id="42"/>
      <w:r w:rsidDel="00000000" w:rsidR="00000000" w:rsidRPr="00000000">
        <w:rPr>
          <w:rFonts w:ascii="Times New Roman" w:cs="Times New Roman" w:eastAsia="Times New Roman" w:hAnsi="Times New Roman"/>
          <w:color w:val="000000"/>
          <w:rtl w:val="0"/>
        </w:rPr>
        <w:t xml:space="preserve">5.1 Data Availability and Validation</w:t>
      </w:r>
    </w:p>
    <w:p w:rsidR="00000000" w:rsidDel="00000000" w:rsidP="00000000" w:rsidRDefault="00000000" w:rsidRPr="00000000" w14:paraId="000000BE">
      <w:pPr>
        <w:spacing w:after="0" w:before="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chapter reports the empirical results from the locked evidence package. The analysis uses the validated event-study outputs for the three primary event-firm observations and the dissertation-ready descriptive exhibits prepared from the existing validated results. No new event coding, sample expansion, or additional empirical analysis is introduced in this chapter.</w:t>
      </w:r>
    </w:p>
    <w:p w:rsidR="00000000" w:rsidDel="00000000" w:rsidP="00000000" w:rsidRDefault="00000000" w:rsidRPr="00000000" w14:paraId="000000BF">
      <w:pPr>
        <w:spacing w:after="0" w:before="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primary validated output file is data/event_firm_returns.csv. The validation artifact is data/local_price_validation_report.md. The local validation report confirms that the event-study pipeline was run for the three focal primary event-firm rows: E009 / INTC, E010 / TSM, and E012 / MU. These observations correspond to the Intel CHIPS Act preliminary terms announcement, the TSMC Arizona CHIPS Act preliminary terms announcement, and the Micron CHIPS Act preliminary agreement announcement.</w:t>
      </w:r>
      <w:r w:rsidDel="00000000" w:rsidR="00000000" w:rsidRPr="00000000">
        <w:rPr>
          <w:rFonts w:ascii="Times New Roman" w:cs="Times New Roman" w:eastAsia="Times New Roman" w:hAnsi="Times New Roman"/>
          <w:sz w:val="24"/>
          <w:szCs w:val="24"/>
          <w:rtl w:val="0"/>
        </w:rPr>
      </w:r>
      <w:r w:rsidDel="00000000" w:rsidR="00000000" w:rsidRPr="00000000">
        <w:rPr>
          <w:rFonts w:ascii="Times New Roman" w:cs="Times New Roman" w:eastAsia="Times New Roman" w:hAnsi="Times New Roman"/>
          <w:sz w:val="24"/>
          <w:szCs w:val="24"/>
          <w:rtl w:val="0"/>
        </w:rPr>
      </w:r>
      <w:r w:rsidDel="00000000" w:rsidR="00000000" w:rsidRPr="00000000">
        <w:rPr>
          <w:rFonts w:ascii="Times New Roman" w:cs="Times New Roman" w:eastAsia="Times New Roman" w:hAnsi="Times New Roman"/>
          <w:sz w:val="24"/>
          <w:szCs w:val="24"/>
          <w:rtl w:val="0"/>
        </w:rPr>
      </w:r>
      <w:r w:rsidDel="00000000" w:rsidR="00000000" w:rsidRPr="00000000">
        <w:rPr>
          <w:rFonts w:ascii="Times New Roman" w:cs="Times New Roman" w:eastAsia="Times New Roman" w:hAnsi="Times New Roman"/>
          <w:sz w:val="24"/>
          <w:szCs w:val="24"/>
          <w:rtl w:val="0"/>
        </w:rPr>
      </w:r>
    </w:p>
    <w:p w:rsidR="00000000" w:rsidDel="00000000" w:rsidP="00000000" w:rsidRDefault="00000000" w:rsidRPr="00000000" w14:paraId="000000C0">
      <w:pPr>
        <w:spacing w:after="0" w:before="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validation report records that all required local price files were available for the primary event-study run. The required focal securities were INTC, TSM, and MU. The required benchmark series were SPY, QQQ, and SMH. Each of these six price files contained 84 rows. No required local price files were missing or unusable. The report also records that </w:t>
      </w:r>
      <w:r w:rsidDel="00000000" w:rsidR="00000000" w:rsidRPr="00000000">
        <w:rPr>
          <w:rFonts w:ascii="Times New Roman" w:cs="Times New Roman" w:eastAsia="Times New Roman" w:hAnsi="Times New Roman"/>
          <w:sz w:val="24"/>
          <w:szCs w:val="24"/>
          <w:rtl w:val="0"/>
        </w:rPr>
        <w:t xml:space="preserve">market_returns.csv</w:t>
      </w:r>
      <w:r w:rsidDel="00000000" w:rsidR="00000000" w:rsidRPr="00000000">
        <w:rPr>
          <w:rFonts w:ascii="Times New Roman" w:cs="Times New Roman" w:eastAsia="Times New Roman" w:hAnsi="Times New Roman"/>
          <w:sz w:val="24"/>
          <w:szCs w:val="24"/>
          <w:rtl w:val="0"/>
        </w:rPr>
        <w:t xml:space="preserve"> contained 504 rows and that </w:t>
      </w:r>
      <w:r w:rsidDel="00000000" w:rsidR="00000000" w:rsidRPr="00000000">
        <w:rPr>
          <w:rFonts w:ascii="Times New Roman" w:cs="Times New Roman" w:eastAsia="Times New Roman" w:hAnsi="Times New Roman"/>
          <w:sz w:val="24"/>
          <w:szCs w:val="24"/>
          <w:rtl w:val="0"/>
        </w:rPr>
        <w:t xml:space="preserve">event_firm_returns.csv</w:t>
      </w:r>
      <w:r w:rsidDel="00000000" w:rsidR="00000000" w:rsidRPr="00000000">
        <w:rPr>
          <w:rFonts w:ascii="Times New Roman" w:cs="Times New Roman" w:eastAsia="Times New Roman" w:hAnsi="Times New Roman"/>
          <w:sz w:val="24"/>
          <w:szCs w:val="24"/>
          <w:rtl w:val="0"/>
        </w:rPr>
        <w:t xml:space="preserve"> contained three event-firm rows.</w:t>
      </w:r>
    </w:p>
    <w:p w:rsidR="00000000" w:rsidDel="00000000" w:rsidP="00000000" w:rsidRDefault="00000000" w:rsidRPr="00000000" w14:paraId="000000C1">
      <w:pPr>
        <w:spacing w:after="0" w:before="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three primary event-firm rows were successfully calculated. The validation report states that all requested event windows were covered and that no rows remained missing for the primary calculated outcome. Each of the three rows is marked with a clean data-quality flag in </w:t>
      </w:r>
      <w:r w:rsidDel="00000000" w:rsidR="00000000" w:rsidRPr="00000000">
        <w:rPr>
          <w:rFonts w:ascii="Times New Roman" w:cs="Times New Roman" w:eastAsia="Times New Roman" w:hAnsi="Times New Roman"/>
          <w:sz w:val="24"/>
          <w:szCs w:val="24"/>
          <w:rtl w:val="0"/>
        </w:rPr>
        <w:t xml:space="preserve">data/event_firm_returns.csv</w:t>
      </w:r>
      <w:r w:rsidDel="00000000" w:rsidR="00000000" w:rsidRPr="00000000">
        <w:rPr>
          <w:rFonts w:ascii="Times New Roman" w:cs="Times New Roman" w:eastAsia="Times New Roman" w:hAnsi="Times New Roman"/>
          <w:sz w:val="24"/>
          <w:szCs w:val="24"/>
          <w:rtl w:val="0"/>
        </w:rPr>
        <w:t xml:space="preserve">. The event-window coverage field for each row states that all requested windows were covered.</w:t>
      </w:r>
    </w:p>
    <w:p w:rsidR="00000000" w:rsidDel="00000000" w:rsidP="00000000" w:rsidRDefault="00000000" w:rsidRPr="00000000" w14:paraId="000000C2">
      <w:pPr>
        <w:spacing w:after="0" w:before="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event trading dates used by the pipeline match the event-date alignment rule in the locked workflow. E009 / INTC uses 2024-03-20 as the event trading date. E010 / TSM uses 2024-04-08 as the event trading date. E012 / MU uses 2024-04-25 as the event trading date. In each case, the calculation notes state that the event trading date is the first trading day on or after the event date.</w:t>
      </w:r>
    </w:p>
    <w:p w:rsidR="00000000" w:rsidDel="00000000" w:rsidP="00000000" w:rsidRDefault="00000000" w:rsidRPr="00000000" w14:paraId="000000C3">
      <w:pPr>
        <w:spacing w:after="0" w:before="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validation evidence therefore establishes that the three primary event-firm observations have complete local price coverage, complete benchmark availability, complete requested event-window coverage, and clean pipeline status. The results reported below use these validated outputs.</w:t>
      </w:r>
    </w:p>
    <w:p w:rsidR="00000000" w:rsidDel="00000000" w:rsidP="00000000" w:rsidRDefault="00000000" w:rsidRPr="00000000" w14:paraId="000000C4">
      <w:pPr>
        <w:pStyle w:val="Heading4"/>
        <w:spacing w:after="0" w:before="200" w:lineRule="auto"/>
        <w:rPr>
          <w:rFonts w:ascii="Times New Roman" w:cs="Times New Roman" w:eastAsia="Times New Roman" w:hAnsi="Times New Roman"/>
          <w:color w:val="000000"/>
        </w:rPr>
      </w:pPr>
      <w:bookmarkStart w:colFirst="0" w:colLast="0" w:name="_krpzcxb1aty3" w:id="43"/>
      <w:bookmarkEnd w:id="43"/>
      <w:r w:rsidDel="00000000" w:rsidR="00000000" w:rsidRPr="00000000">
        <w:rPr>
          <w:rFonts w:ascii="Times New Roman" w:cs="Times New Roman" w:eastAsia="Times New Roman" w:hAnsi="Times New Roman"/>
          <w:color w:val="000000"/>
          <w:rtl w:val="0"/>
        </w:rPr>
        <w:t xml:space="preserve">5.2 Primary Outcome Results</w:t>
      </w:r>
    </w:p>
    <w:p w:rsidR="00000000" w:rsidDel="00000000" w:rsidP="00000000" w:rsidRDefault="00000000" w:rsidRPr="00000000" w14:paraId="000000C5">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pre-committed primary outcome for the dissertation is </w:t>
      </w:r>
      <w:r w:rsidDel="00000000" w:rsidR="00000000" w:rsidRPr="00000000">
        <w:rPr>
          <w:rFonts w:ascii="Times New Roman" w:cs="Times New Roman" w:eastAsia="Times New Roman" w:hAnsi="Times New Roman"/>
          <w:sz w:val="24"/>
          <w:szCs w:val="24"/>
          <w:rtl w:val="0"/>
        </w:rPr>
        <w:t xml:space="preserve">car_sector_m1_p1</w:t>
      </w:r>
      <w:r w:rsidDel="00000000" w:rsidR="00000000" w:rsidRPr="00000000">
        <w:rPr>
          <w:rFonts w:ascii="Times New Roman" w:cs="Times New Roman" w:eastAsia="Times New Roman" w:hAnsi="Times New Roman"/>
          <w:sz w:val="24"/>
          <w:szCs w:val="24"/>
          <w:rtl w:val="0"/>
        </w:rPr>
        <w:t xml:space="preserve">, the sector-adjusted cumulative abnormal return over the [-1,+1] event window. This outcome is calculated relative to the semiconductor-sector benchmark. The primary outcome is distinct from the descriptive event-day and wider-window return measures reported later in this chapter.</w:t>
      </w:r>
    </w:p>
    <w:p w:rsidR="00000000" w:rsidDel="00000000" w:rsidP="00000000" w:rsidRDefault="00000000" w:rsidRPr="00000000" w14:paraId="000000C6">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pre-data evidence classification rule applied to the primary outcome is as follows. A result is classified as supportive if </w:t>
      </w:r>
      <w:r w:rsidDel="00000000" w:rsidR="00000000" w:rsidRPr="00000000">
        <w:rPr>
          <w:rFonts w:ascii="Times New Roman" w:cs="Times New Roman" w:eastAsia="Times New Roman" w:hAnsi="Times New Roman"/>
          <w:sz w:val="24"/>
          <w:szCs w:val="24"/>
          <w:rtl w:val="0"/>
        </w:rPr>
        <w:t xml:space="preserve">car_sector_m1_p1</w:t>
      </w:r>
      <w:r w:rsidDel="00000000" w:rsidR="00000000" w:rsidRPr="00000000">
        <w:rPr>
          <w:rFonts w:ascii="Times New Roman" w:cs="Times New Roman" w:eastAsia="Times New Roman" w:hAnsi="Times New Roman"/>
          <w:sz w:val="24"/>
          <w:szCs w:val="24"/>
          <w:rtl w:val="0"/>
        </w:rPr>
        <w:t xml:space="preserve"> is greater than +0.25 percentage points. A result is classified as null if </w:t>
      </w:r>
      <w:r w:rsidDel="00000000" w:rsidR="00000000" w:rsidRPr="00000000">
        <w:rPr>
          <w:rFonts w:ascii="Times New Roman" w:cs="Times New Roman" w:eastAsia="Times New Roman" w:hAnsi="Times New Roman"/>
          <w:sz w:val="24"/>
          <w:szCs w:val="24"/>
          <w:rtl w:val="0"/>
        </w:rPr>
        <w:t xml:space="preserve">car_sector_m1_p1</w:t>
      </w:r>
      <w:r w:rsidDel="00000000" w:rsidR="00000000" w:rsidRPr="00000000">
        <w:rPr>
          <w:rFonts w:ascii="Times New Roman" w:cs="Times New Roman" w:eastAsia="Times New Roman" w:hAnsi="Times New Roman"/>
          <w:sz w:val="24"/>
          <w:szCs w:val="24"/>
          <w:rtl w:val="0"/>
        </w:rPr>
        <w:t xml:space="preserve"> falls between -0.25 percentage points and +0.25 percentage points. A result is classified as theory-weakening if </w:t>
      </w:r>
      <w:r w:rsidDel="00000000" w:rsidR="00000000" w:rsidRPr="00000000">
        <w:rPr>
          <w:rFonts w:ascii="Times New Roman" w:cs="Times New Roman" w:eastAsia="Times New Roman" w:hAnsi="Times New Roman"/>
          <w:sz w:val="24"/>
          <w:szCs w:val="24"/>
          <w:rtl w:val="0"/>
        </w:rPr>
        <w:t xml:space="preserve">car_sector_m1_p1</w:t>
      </w:r>
      <w:r w:rsidDel="00000000" w:rsidR="00000000" w:rsidRPr="00000000">
        <w:rPr>
          <w:rFonts w:ascii="Times New Roman" w:cs="Times New Roman" w:eastAsia="Times New Roman" w:hAnsi="Times New Roman"/>
          <w:sz w:val="24"/>
          <w:szCs w:val="24"/>
          <w:rtl w:val="0"/>
        </w:rPr>
        <w:t xml:space="preserve"> is below -0.25 percentage points. The primary outcome results are shown in Table 5.1.</w:t>
      </w:r>
      <w:r w:rsidDel="00000000" w:rsidR="00000000" w:rsidRPr="00000000">
        <w:rPr>
          <w:rFonts w:ascii="Times New Roman" w:cs="Times New Roman" w:eastAsia="Times New Roman" w:hAnsi="Times New Roman"/>
          <w:sz w:val="24"/>
          <w:szCs w:val="24"/>
        </w:rPr>
        <w:drawing>
          <wp:inline distB="114300" distT="114300" distL="114300" distR="114300">
            <wp:extent cx="5943600" cy="1803400"/>
            <wp:effectExtent b="0" l="0" r="0" t="0"/>
            <wp:docPr id="4"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1803400"/>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E009 / INTC has a </w:t>
      </w:r>
      <w:r w:rsidDel="00000000" w:rsidR="00000000" w:rsidRPr="00000000">
        <w:rPr>
          <w:rFonts w:ascii="Times New Roman" w:cs="Times New Roman" w:eastAsia="Times New Roman" w:hAnsi="Times New Roman"/>
          <w:sz w:val="24"/>
          <w:szCs w:val="24"/>
          <w:rtl w:val="0"/>
        </w:rPr>
        <w:t xml:space="preserve">car_sector_m1_p1</w:t>
      </w:r>
      <w:r w:rsidDel="00000000" w:rsidR="00000000" w:rsidRPr="00000000">
        <w:rPr>
          <w:rFonts w:ascii="Times New Roman" w:cs="Times New Roman" w:eastAsia="Times New Roman" w:hAnsi="Times New Roman"/>
          <w:sz w:val="24"/>
          <w:szCs w:val="24"/>
          <w:rtl w:val="0"/>
        </w:rPr>
        <w:t xml:space="preserve"> of -4.3183%. Under the pre-data classification rule, this value is below -0.25% points and is classified as theory-weakening. E010 / TSM has a </w:t>
      </w:r>
      <w:r w:rsidDel="00000000" w:rsidR="00000000" w:rsidRPr="00000000">
        <w:rPr>
          <w:rFonts w:ascii="Times New Roman" w:cs="Times New Roman" w:eastAsia="Times New Roman" w:hAnsi="Times New Roman"/>
          <w:sz w:val="24"/>
          <w:szCs w:val="24"/>
          <w:rtl w:val="0"/>
        </w:rPr>
        <w:t xml:space="preserve">car_sector_m1_p1</w:t>
      </w:r>
      <w:r w:rsidDel="00000000" w:rsidR="00000000" w:rsidRPr="00000000">
        <w:rPr>
          <w:rFonts w:ascii="Times New Roman" w:cs="Times New Roman" w:eastAsia="Times New Roman" w:hAnsi="Times New Roman"/>
          <w:sz w:val="24"/>
          <w:szCs w:val="24"/>
          <w:rtl w:val="0"/>
        </w:rPr>
        <w:t xml:space="preserve"> of 2.1512%. Under the pre-data classification rule, this value is greater than +0.25% points and is classified as supportive. E012 / MU has a </w:t>
      </w:r>
      <w:r w:rsidDel="00000000" w:rsidR="00000000" w:rsidRPr="00000000">
        <w:rPr>
          <w:rFonts w:ascii="Times New Roman" w:cs="Times New Roman" w:eastAsia="Times New Roman" w:hAnsi="Times New Roman"/>
          <w:sz w:val="24"/>
          <w:szCs w:val="24"/>
          <w:rtl w:val="0"/>
        </w:rPr>
        <w:t xml:space="preserve">car_sector_m1_p1</w:t>
      </w:r>
      <w:r w:rsidDel="00000000" w:rsidR="00000000" w:rsidRPr="00000000">
        <w:rPr>
          <w:rFonts w:ascii="Times New Roman" w:cs="Times New Roman" w:eastAsia="Times New Roman" w:hAnsi="Times New Roman"/>
          <w:sz w:val="24"/>
          <w:szCs w:val="24"/>
          <w:rtl w:val="0"/>
        </w:rPr>
        <w:t xml:space="preserve"> of -2.5406%. Under the pre-data classification rule, this value is below -0.25% points and is classified as theory-weakening.</w:t>
      </w:r>
    </w:p>
    <w:p w:rsidR="00000000" w:rsidDel="00000000" w:rsidP="00000000" w:rsidRDefault="00000000" w:rsidRPr="00000000" w14:paraId="000000C8">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Across the 3 primary cases, one observation is classified as supportive, 0 observations are classified as null, and 2 observations are classified as theory-weakening. These classifications are based only on the pre-committed primary outcome and the locked classification thresholds.</w:t>
      </w:r>
    </w:p>
    <w:p w:rsidR="00000000" w:rsidDel="00000000" w:rsidP="00000000" w:rsidRDefault="00000000" w:rsidRPr="00000000" w14:paraId="000000C9">
      <w:pPr>
        <w:pStyle w:val="Heading4"/>
        <w:spacing w:after="0" w:lineRule="auto"/>
        <w:rPr>
          <w:rFonts w:ascii="Times New Roman" w:cs="Times New Roman" w:eastAsia="Times New Roman" w:hAnsi="Times New Roman"/>
          <w:color w:val="000000"/>
        </w:rPr>
      </w:pPr>
      <w:bookmarkStart w:colFirst="0" w:colLast="0" w:name="_gjkji37oddyh" w:id="44"/>
      <w:bookmarkEnd w:id="44"/>
      <w:r w:rsidDel="00000000" w:rsidR="00000000" w:rsidRPr="00000000">
        <w:rPr>
          <w:rFonts w:ascii="Times New Roman" w:cs="Times New Roman" w:eastAsia="Times New Roman" w:hAnsi="Times New Roman"/>
          <w:color w:val="000000"/>
          <w:rtl w:val="0"/>
        </w:rPr>
        <w:t xml:space="preserve">5.3 Primary Case Descriptive Returns</w:t>
      </w:r>
    </w:p>
    <w:p w:rsidR="00000000" w:rsidDel="00000000" w:rsidP="00000000" w:rsidRDefault="00000000" w:rsidRPr="00000000" w14:paraId="000000CA">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section reports descriptive return measures for the three primary cases. These measures are not the pre-committed primary outcome. They are included to summarise event-day sector-adjusted abnormal returns and wider-window CAR[-7,+7] values for the same 3 focal event-firm observations.</w:t>
      </w:r>
    </w:p>
    <w:p w:rsidR="00000000" w:rsidDel="00000000" w:rsidP="00000000" w:rsidRDefault="00000000" w:rsidRPr="00000000" w14:paraId="000000CB">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descriptive return measures are shown in Table 5.2. Day0_AR refers to the sector-adjusted abnormal return on the event trading day. CAR[-7,+7] refers to the sector-adjusted cumulative abnormal return over the [-7,+7] event window. The wider-window measure is descriptive and is not used for the primary evidence classification reported in Section 5.2.</w:t>
      </w:r>
    </w:p>
    <w:p w:rsidR="00000000" w:rsidDel="00000000" w:rsidP="00000000" w:rsidRDefault="00000000" w:rsidRPr="00000000" w14:paraId="000000CC">
      <w:pPr>
        <w:spacing w:after="0" w:before="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1993900"/>
            <wp:effectExtent b="0" l="0" r="0" t="0"/>
            <wp:docPr id="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1993900"/>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E009 / INTC, the event-day sector-adjusted abnormal return is -1.2456%. The descriptive CAR[-7,+7] is -0.0288%. For E010 / TSM, the event-day sector-adjusted abnormal return is 0.8229%. The descriptive CAR[-7,+7] is 5.9035%. For E012 / MU, the event-day sector-adjusted abnormal return is -2.1785%. The descriptive CAR[-7,+7] is -3.2454%.</w:t>
      </w:r>
    </w:p>
    <w:p w:rsidR="00000000" w:rsidDel="00000000" w:rsidP="00000000" w:rsidRDefault="00000000" w:rsidRPr="00000000" w14:paraId="000000CE">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descriptive measures show that E010 / TSM has a positive event-day abnormal return and a positive wider-window CAR. E009 / INTC has a negative event-day abnormal return and a near-zero negative wider-window CAR. E012 / MU has a negative event-day abnormal return and a negative wider-window CAR. These descriptive values supplement, but do not replace, the primary </w:t>
      </w:r>
      <w:r w:rsidDel="00000000" w:rsidR="00000000" w:rsidRPr="00000000">
        <w:rPr>
          <w:rFonts w:ascii="Times New Roman" w:cs="Times New Roman" w:eastAsia="Times New Roman" w:hAnsi="Times New Roman"/>
          <w:sz w:val="24"/>
          <w:szCs w:val="24"/>
          <w:rtl w:val="0"/>
        </w:rPr>
        <w:t xml:space="preserve">car_sector_m1_p1</w:t>
      </w:r>
      <w:r w:rsidDel="00000000" w:rsidR="00000000" w:rsidRPr="00000000">
        <w:rPr>
          <w:rFonts w:ascii="Times New Roman" w:cs="Times New Roman" w:eastAsia="Times New Roman" w:hAnsi="Times New Roman"/>
          <w:sz w:val="24"/>
          <w:szCs w:val="24"/>
          <w:rtl w:val="0"/>
        </w:rPr>
        <w:t xml:space="preserve"> classifications reported above.</w:t>
      </w:r>
    </w:p>
    <w:p w:rsidR="00000000" w:rsidDel="00000000" w:rsidP="00000000" w:rsidRDefault="00000000" w:rsidRPr="00000000" w14:paraId="000000CF">
      <w:pPr>
        <w:pStyle w:val="Heading4"/>
        <w:spacing w:after="0" w:lineRule="auto"/>
        <w:rPr>
          <w:rFonts w:ascii="Times New Roman" w:cs="Times New Roman" w:eastAsia="Times New Roman" w:hAnsi="Times New Roman"/>
          <w:color w:val="000000"/>
        </w:rPr>
      </w:pPr>
      <w:bookmarkStart w:colFirst="0" w:colLast="0" w:name="_hqnk12mqkyh7" w:id="45"/>
      <w:bookmarkEnd w:id="45"/>
      <w:r w:rsidDel="00000000" w:rsidR="00000000" w:rsidRPr="00000000">
        <w:rPr>
          <w:rFonts w:ascii="Times New Roman" w:cs="Times New Roman" w:eastAsia="Times New Roman" w:hAnsi="Times New Roman"/>
          <w:color w:val="000000"/>
          <w:rtl w:val="0"/>
        </w:rPr>
        <w:t xml:space="preserve">5.4 Support Event Descriptive Summary</w:t>
      </w:r>
    </w:p>
    <w:p w:rsidR="00000000" w:rsidDel="00000000" w:rsidP="00000000" w:rsidRDefault="00000000" w:rsidRPr="00000000" w14:paraId="000000D0">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section reports descriptive statistics for the validated support-event summary. This broader support-event summary is distinct from the three-row primary outcome test. It includes twelve firm-level observations from the support/subsidy_award event audit. The results in this section are descriptive and are not used to alter the primary outcome classifications. The summary statistics are shown in Table 5.3.</w:t>
      </w:r>
    </w:p>
    <w:p w:rsidR="00000000" w:rsidDel="00000000" w:rsidP="00000000" w:rsidRDefault="00000000" w:rsidRPr="00000000" w14:paraId="000000D1">
      <w:pPr>
        <w:spacing w:after="0" w:before="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3795713" cy="2503555"/>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3795713" cy="2503555"/>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support-event descriptive sample contains twelve observations. The mean CAR is -1.3873%. The median CAR is 0.0847%. The standard deviation is 4.3073%. The positive share is 50.0000%. This means that half of the observations in the descriptive support-event sample have positive CAR values and half do not. The maximum CAR in the descriptive support-event sample is 5.9035%. The minimum CAR is -9.9906%.</w:t>
      </w:r>
    </w:p>
    <w:p w:rsidR="00000000" w:rsidDel="00000000" w:rsidP="00000000" w:rsidRDefault="00000000" w:rsidRPr="00000000" w14:paraId="000000D3">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values summarise the distribution of the broader support-event descriptive sample. They do not change the classification of the three primary cases under the pre-committed </w:t>
      </w:r>
      <w:r w:rsidDel="00000000" w:rsidR="00000000" w:rsidRPr="00000000">
        <w:rPr>
          <w:rFonts w:ascii="Times New Roman" w:cs="Times New Roman" w:eastAsia="Times New Roman" w:hAnsi="Times New Roman"/>
          <w:sz w:val="24"/>
          <w:szCs w:val="24"/>
          <w:rtl w:val="0"/>
        </w:rPr>
        <w:t xml:space="preserve">car_sector_m1_p1</w:t>
      </w:r>
      <w:r w:rsidDel="00000000" w:rsidR="00000000" w:rsidRPr="00000000">
        <w:rPr>
          <w:rFonts w:ascii="Times New Roman" w:cs="Times New Roman" w:eastAsia="Times New Roman" w:hAnsi="Times New Roman"/>
          <w:sz w:val="24"/>
          <w:szCs w:val="24"/>
          <w:rtl w:val="0"/>
        </w:rPr>
        <w:t xml:space="preserve"> rule.</w:t>
      </w:r>
    </w:p>
    <w:p w:rsidR="00000000" w:rsidDel="00000000" w:rsidP="00000000" w:rsidRDefault="00000000" w:rsidRPr="00000000" w14:paraId="000000D4">
      <w:pPr>
        <w:pStyle w:val="Heading4"/>
        <w:spacing w:after="0" w:lineRule="auto"/>
        <w:rPr>
          <w:rFonts w:ascii="Times New Roman" w:cs="Times New Roman" w:eastAsia="Times New Roman" w:hAnsi="Times New Roman"/>
          <w:color w:val="000000"/>
        </w:rPr>
      </w:pPr>
      <w:bookmarkStart w:colFirst="0" w:colLast="0" w:name="_m5pta2m6z3v1" w:id="46"/>
      <w:bookmarkEnd w:id="46"/>
      <w:r w:rsidDel="00000000" w:rsidR="00000000" w:rsidRPr="00000000">
        <w:rPr>
          <w:rFonts w:ascii="Times New Roman" w:cs="Times New Roman" w:eastAsia="Times New Roman" w:hAnsi="Times New Roman"/>
          <w:color w:val="000000"/>
          <w:rtl w:val="0"/>
        </w:rPr>
        <w:t xml:space="preserve">5.5 Recipient vs Non-Recipient Comparison</w:t>
      </w:r>
    </w:p>
    <w:p w:rsidR="00000000" w:rsidDel="00000000" w:rsidP="00000000" w:rsidRDefault="00000000" w:rsidRPr="00000000" w14:paraId="000000D5">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This section reports the recipient versus non-recipient comparison from the locked evidence package. The comparison is descriptive. It summarises CAR values by whether the linked firm observation is classified as a recipient or non-recipient in the validated support-event audit. Table 5.4 reports the recipient and non-recipient summary values.</w:t>
      </w:r>
    </w:p>
    <w:p w:rsidR="00000000" w:rsidDel="00000000" w:rsidP="00000000" w:rsidRDefault="00000000" w:rsidRPr="00000000" w14:paraId="000000D6">
      <w:pPr>
        <w:spacing w:after="0" w:before="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1498600"/>
            <wp:effectExtent b="0" l="0" r="0" t="0"/>
            <wp:docPr id="2"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943600" cy="1498600"/>
                    </a:xfrm>
                    <a:prstGeom prst="rect"/>
                    <a:ln/>
                  </pic:spPr>
                </pic:pic>
              </a:graphicData>
            </a:graphic>
          </wp:inline>
        </w:drawing>
      </w:r>
      <w:r w:rsidDel="00000000" w:rsidR="00000000" w:rsidRPr="00000000">
        <w:rPr>
          <w:rtl w:val="0"/>
        </w:rPr>
      </w:r>
    </w:p>
    <w:p w:rsidR="00000000" w:rsidDel="00000000" w:rsidP="00000000" w:rsidRDefault="00000000" w:rsidRPr="00000000" w14:paraId="000000D7">
      <w:pPr>
        <w:spacing w:after="0" w:before="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recipient group contains five observations. The recipient mean CAR is -0.3186%. The recipient median CAR is -0.0288%. The recipient's positive share is 40.0000%. The non-recipient group contains 7 observations. The non-recipient mean CAR is -2.1506%. The non-recipient median CAR is 0.1983%. The non-recipient positive share is 57.1429%. </w:t>
      </w:r>
    </w:p>
    <w:p w:rsidR="00000000" w:rsidDel="00000000" w:rsidP="00000000" w:rsidRDefault="00000000" w:rsidRPr="00000000" w14:paraId="000000D8">
      <w:pPr>
        <w:spacing w:after="0" w:before="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5.1 presents the same recipient versus non-recipient comparison visually. The figure compares mean CAR[-7,+7] values for the 2 groups. The recipient mean is -0.3186%. The non-recipient mean is -2.1506%. Figure 5.1. Recipient vs Non-Recipient CAR Comparison [Insert </w:t>
      </w:r>
      <w:r w:rsidDel="00000000" w:rsidR="00000000" w:rsidRPr="00000000">
        <w:rPr>
          <w:rFonts w:ascii="Times New Roman" w:cs="Times New Roman" w:eastAsia="Times New Roman" w:hAnsi="Times New Roman"/>
          <w:sz w:val="24"/>
          <w:szCs w:val="24"/>
          <w:rtl w:val="0"/>
        </w:rPr>
        <w:t xml:space="preserve">dissertation_results/figures/figure1_recipient_vs_nonrecipient_car.svg</w:t>
      </w:r>
      <w:r w:rsidDel="00000000" w:rsidR="00000000" w:rsidRPr="00000000">
        <w:rPr>
          <w:rFonts w:ascii="Times New Roman" w:cs="Times New Roman" w:eastAsia="Times New Roman" w:hAnsi="Times New Roman"/>
          <w:sz w:val="24"/>
          <w:szCs w:val="24"/>
          <w:rtl w:val="0"/>
        </w:rPr>
        <w:t xml:space="preserve"> here.] The table and figure report group-level descriptive summaries only. They are not used as the primary evidence classification for the 3 focal event-firm observations.</w:t>
      </w:r>
    </w:p>
    <w:p w:rsidR="00000000" w:rsidDel="00000000" w:rsidP="00000000" w:rsidRDefault="00000000" w:rsidRPr="00000000" w14:paraId="000000D9">
      <w:pPr>
        <w:pStyle w:val="Heading4"/>
        <w:spacing w:after="0" w:lineRule="auto"/>
        <w:rPr>
          <w:rFonts w:ascii="Times New Roman" w:cs="Times New Roman" w:eastAsia="Times New Roman" w:hAnsi="Times New Roman"/>
          <w:color w:val="000000"/>
        </w:rPr>
      </w:pPr>
      <w:bookmarkStart w:colFirst="0" w:colLast="0" w:name="_6sbmxfimf69d" w:id="47"/>
      <w:bookmarkEnd w:id="47"/>
      <w:r w:rsidDel="00000000" w:rsidR="00000000" w:rsidRPr="00000000">
        <w:rPr>
          <w:rFonts w:ascii="Times New Roman" w:cs="Times New Roman" w:eastAsia="Times New Roman" w:hAnsi="Times New Roman"/>
          <w:color w:val="000000"/>
          <w:rtl w:val="0"/>
        </w:rPr>
        <w:t xml:space="preserve">5.6 Summary of Findings</w:t>
      </w:r>
    </w:p>
    <w:p w:rsidR="00000000" w:rsidDel="00000000" w:rsidP="00000000" w:rsidRDefault="00000000" w:rsidRPr="00000000" w14:paraId="000000DA">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chapter reported the locked empirical results for the dissertation evidence package. The data availability and validation evidence shows that the three primary event-firm observations have complete required local price inputs, complete benchmark coverage, complete event-window coverage, and clean validation status.</w:t>
      </w:r>
    </w:p>
    <w:p w:rsidR="00000000" w:rsidDel="00000000" w:rsidP="00000000" w:rsidRDefault="00000000" w:rsidRPr="00000000" w14:paraId="000000DB">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primary outcome analysis used </w:t>
      </w:r>
      <w:r w:rsidDel="00000000" w:rsidR="00000000" w:rsidRPr="00000000">
        <w:rPr>
          <w:rFonts w:ascii="Times New Roman" w:cs="Times New Roman" w:eastAsia="Times New Roman" w:hAnsi="Times New Roman"/>
          <w:sz w:val="24"/>
          <w:szCs w:val="24"/>
          <w:rtl w:val="0"/>
        </w:rPr>
        <w:t xml:space="preserve">car_sector_m1_p1</w:t>
      </w:r>
      <w:r w:rsidDel="00000000" w:rsidR="00000000" w:rsidRPr="00000000">
        <w:rPr>
          <w:rFonts w:ascii="Times New Roman" w:cs="Times New Roman" w:eastAsia="Times New Roman" w:hAnsi="Times New Roman"/>
          <w:sz w:val="24"/>
          <w:szCs w:val="24"/>
          <w:rtl w:val="0"/>
        </w:rPr>
        <w:t xml:space="preserve">, the sector-adjusted CAR[-1,+1] measure. Under the pre-data classification rule, the three primary cases are classified as follows: E009 / INTC is theory-weakening, E010 / TSM is supportive, and E012 / MU is theory-weakening. The count across the three primary cases is one supportive observation, 0 null observations, and 2 theory-weakening observations. </w:t>
      </w:r>
    </w:p>
    <w:p w:rsidR="00000000" w:rsidDel="00000000" w:rsidP="00000000" w:rsidRDefault="00000000" w:rsidRPr="00000000" w14:paraId="000000DC">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descriptive primary-case returns show the event-day abnormal returns and wider-window CAR[-7,+7] values for the same three primary cases. E009 / INTC has a Day0_AR of -1.2456% and a CAR[-7,+7] of -0.0288%. E010 / TSM has a Day0_AR of 0.8229% and a CAR[-7,+7] of 5.9035%. E012 / MU has a Day0_AR of -2.1785% and a CAR[-7,+7] of -3.2454%.</w:t>
      </w:r>
    </w:p>
    <w:p w:rsidR="00000000" w:rsidDel="00000000" w:rsidP="00000000" w:rsidRDefault="00000000" w:rsidRPr="00000000" w14:paraId="000000DD">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broader support-event descriptive summary contains 12 observations. The mean CAR is -1.3873%, the median CAR is 0.0847%, and the positive share is 50.0000%. The maximum CAR is 5.9035% and the minimum CAR is -9.990%.</w:t>
      </w:r>
    </w:p>
    <w:p w:rsidR="00000000" w:rsidDel="00000000" w:rsidP="00000000" w:rsidRDefault="00000000" w:rsidRPr="00000000" w14:paraId="000000DE">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recipient versus non-recipient comparison reports 5 recipient observations and 7 non-recipient observations. Recipient observations have a mean CAR of -0.3186%, a median CAR of -0.0288%, and a positive share of 40.0000 %. Non-recipient observations have a mean CAR of -2.1506%, a median CAR of 0.1983%, and a positive share of 57.1429%.</w:t>
      </w:r>
    </w:p>
    <w:p w:rsidR="00000000" w:rsidDel="00000000" w:rsidP="00000000" w:rsidRDefault="00000000" w:rsidRPr="00000000" w14:paraId="000000DF">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results in this chapter are reported from the locked evidence package. The primary outcome classifications are based on the pre-committed </w:t>
      </w:r>
      <w:r w:rsidDel="00000000" w:rsidR="00000000" w:rsidRPr="00000000">
        <w:rPr>
          <w:rFonts w:ascii="Times New Roman" w:cs="Times New Roman" w:eastAsia="Times New Roman" w:hAnsi="Times New Roman"/>
          <w:sz w:val="24"/>
          <w:szCs w:val="24"/>
          <w:rtl w:val="0"/>
        </w:rPr>
        <w:t xml:space="preserve">car_sector_m1_p1</w:t>
      </w:r>
      <w:r w:rsidDel="00000000" w:rsidR="00000000" w:rsidRPr="00000000">
        <w:rPr>
          <w:rFonts w:ascii="Times New Roman" w:cs="Times New Roman" w:eastAsia="Times New Roman" w:hAnsi="Times New Roman"/>
          <w:sz w:val="24"/>
          <w:szCs w:val="24"/>
          <w:rtl w:val="0"/>
        </w:rPr>
        <w:t xml:space="preserve"> rule. The event-day, wider-window, support-event summary, and recipient comparison results are descriptive exhibits and are not substitutes for the primary outcome classification.</w:t>
      </w:r>
    </w:p>
    <w:p w:rsidR="00000000" w:rsidDel="00000000" w:rsidP="00000000" w:rsidRDefault="00000000" w:rsidRPr="00000000" w14:paraId="000000E0">
      <w:pPr>
        <w:spacing w:after="0" w:before="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1">
      <w:pPr>
        <w:pStyle w:val="Heading3"/>
        <w:keepNext w:val="0"/>
        <w:keepLines w:val="0"/>
        <w:spacing w:after="0" w:before="0" w:lineRule="auto"/>
        <w:rPr>
          <w:rFonts w:ascii="Times New Roman" w:cs="Times New Roman" w:eastAsia="Times New Roman" w:hAnsi="Times New Roman"/>
          <w:color w:val="000000"/>
          <w:sz w:val="24"/>
          <w:szCs w:val="24"/>
        </w:rPr>
      </w:pPr>
      <w:bookmarkStart w:colFirst="0" w:colLast="0" w:name="_tq9d93r02jkn" w:id="48"/>
      <w:bookmarkEnd w:id="48"/>
      <w:r w:rsidDel="00000000" w:rsidR="00000000" w:rsidRPr="00000000">
        <w:rPr>
          <w:rFonts w:ascii="Times New Roman" w:cs="Times New Roman" w:eastAsia="Times New Roman" w:hAnsi="Times New Roman"/>
          <w:color w:val="000000"/>
          <w:sz w:val="24"/>
          <w:szCs w:val="24"/>
          <w:rtl w:val="0"/>
        </w:rPr>
        <w:t xml:space="preserve">Chapter 6. Discussion and Conclusion</w:t>
      </w:r>
    </w:p>
    <w:p w:rsidR="00000000" w:rsidDel="00000000" w:rsidP="00000000" w:rsidRDefault="00000000" w:rsidRPr="00000000" w14:paraId="000000E2">
      <w:pPr>
        <w:pStyle w:val="Heading4"/>
        <w:keepNext w:val="0"/>
        <w:keepLines w:val="0"/>
        <w:spacing w:after="0" w:before="200" w:lineRule="auto"/>
        <w:rPr>
          <w:rFonts w:ascii="Times New Roman" w:cs="Times New Roman" w:eastAsia="Times New Roman" w:hAnsi="Times New Roman"/>
          <w:color w:val="000000"/>
        </w:rPr>
      </w:pPr>
      <w:bookmarkStart w:colFirst="0" w:colLast="0" w:name="_947j9uopt8wg" w:id="49"/>
      <w:bookmarkEnd w:id="49"/>
      <w:r w:rsidDel="00000000" w:rsidR="00000000" w:rsidRPr="00000000">
        <w:rPr>
          <w:rFonts w:ascii="Times New Roman" w:cs="Times New Roman" w:eastAsia="Times New Roman" w:hAnsi="Times New Roman"/>
          <w:color w:val="000000"/>
          <w:rtl w:val="0"/>
        </w:rPr>
        <w:t xml:space="preserve">6.1 Main Findings</w:t>
      </w:r>
    </w:p>
    <w:p w:rsidR="00000000" w:rsidDel="00000000" w:rsidP="00000000" w:rsidRDefault="00000000" w:rsidRPr="00000000" w14:paraId="000000E3">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dissertation examined whether geopolitical competition can generate positive market reactions for selected strategic firms when states convert strategic importance into credible support. The empirical analysis was designed as a narrow market-expectations test. It did not attempt to estimate the full causal effect of geopolitical competition, nor did it test whether state support produces long-term economic success. The purpose was to evaluate whether short-window market reactions around named semiconductor support announcements are consistent with the State Support mechanism developed in Chapter 3 and operationalised in Chapter 4.</w:t>
      </w:r>
    </w:p>
    <w:p w:rsidR="00000000" w:rsidDel="00000000" w:rsidP="00000000" w:rsidRDefault="00000000" w:rsidRPr="00000000" w14:paraId="000000E4">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primary empirical test used car_sector_m1_p1, the sector-adjusted cumulative abnormal return over the [-1,+1] event window. This outcome was pre-committed as the primary evidence variable because it compares the named beneficiary against the semiconductor-sector benchmark. The classification rule was also fixed before interpretation: observations above +0.25 percentage points are classified as supportive, observations between -0.25 and +0.25 percentage points are classified as null, and observations below -0.25 percentage points are classified as theory-weakening. This interpretation follows the event-study logic developed in Chapter 4 and avoids shifting to more favorable windows after observing the results (Gelman &amp; Loken, 2014; MacKinlay, 1997; Nosek et al., 2018).</w:t>
      </w:r>
      <w:r w:rsidDel="00000000" w:rsidR="00000000" w:rsidRPr="00000000">
        <w:rPr>
          <w:rFonts w:ascii="Times New Roman" w:cs="Times New Roman" w:eastAsia="Times New Roman" w:hAnsi="Times New Roman"/>
          <w:sz w:val="24"/>
          <w:szCs w:val="24"/>
          <w:rtl w:val="0"/>
        </w:rPr>
      </w:r>
      <w:r w:rsidDel="00000000" w:rsidR="00000000" w:rsidRPr="00000000">
        <w:rPr>
          <w:rFonts w:ascii="Times New Roman" w:cs="Times New Roman" w:eastAsia="Times New Roman" w:hAnsi="Times New Roman"/>
          <w:sz w:val="24"/>
          <w:szCs w:val="24"/>
          <w:rtl w:val="0"/>
        </w:rPr>
      </w:r>
    </w:p>
    <w:p w:rsidR="00000000" w:rsidDel="00000000" w:rsidP="00000000" w:rsidRDefault="00000000" w:rsidRPr="00000000" w14:paraId="000000E5">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three primary cases produced mixed results. E009 / INTC recorded a </w:t>
      </w:r>
      <w:r w:rsidDel="00000000" w:rsidR="00000000" w:rsidRPr="00000000">
        <w:rPr>
          <w:rFonts w:ascii="Times New Roman" w:cs="Times New Roman" w:eastAsia="Times New Roman" w:hAnsi="Times New Roman"/>
          <w:sz w:val="24"/>
          <w:szCs w:val="24"/>
          <w:rtl w:val="0"/>
        </w:rPr>
        <w:t xml:space="preserve">car_sector_m1_p1</w:t>
      </w:r>
      <w:r w:rsidDel="00000000" w:rsidR="00000000" w:rsidRPr="00000000">
        <w:rPr>
          <w:rFonts w:ascii="Times New Roman" w:cs="Times New Roman" w:eastAsia="Times New Roman" w:hAnsi="Times New Roman"/>
          <w:sz w:val="24"/>
          <w:szCs w:val="24"/>
          <w:rtl w:val="0"/>
        </w:rPr>
        <w:t xml:space="preserve"> of -4.3183 percent and is classified as theory-weakening. E010 / TSM recorded a </w:t>
      </w:r>
      <w:r w:rsidDel="00000000" w:rsidR="00000000" w:rsidRPr="00000000">
        <w:rPr>
          <w:rFonts w:ascii="Times New Roman" w:cs="Times New Roman" w:eastAsia="Times New Roman" w:hAnsi="Times New Roman"/>
          <w:sz w:val="24"/>
          <w:szCs w:val="24"/>
          <w:rtl w:val="0"/>
        </w:rPr>
        <w:t xml:space="preserve">car_sector_m1_p1</w:t>
      </w:r>
      <w:r w:rsidDel="00000000" w:rsidR="00000000" w:rsidRPr="00000000">
        <w:rPr>
          <w:rFonts w:ascii="Times New Roman" w:cs="Times New Roman" w:eastAsia="Times New Roman" w:hAnsi="Times New Roman"/>
          <w:sz w:val="24"/>
          <w:szCs w:val="24"/>
          <w:rtl w:val="0"/>
        </w:rPr>
        <w:t xml:space="preserve"> of 2.1512 percent and is classified as supportive. E012 / MU recorded a </w:t>
      </w:r>
      <w:r w:rsidDel="00000000" w:rsidR="00000000" w:rsidRPr="00000000">
        <w:rPr>
          <w:rFonts w:ascii="Times New Roman" w:cs="Times New Roman" w:eastAsia="Times New Roman" w:hAnsi="Times New Roman"/>
          <w:sz w:val="24"/>
          <w:szCs w:val="24"/>
          <w:rtl w:val="0"/>
        </w:rPr>
        <w:t xml:space="preserve">car_sector_m1_p1</w:t>
      </w:r>
      <w:r w:rsidDel="00000000" w:rsidR="00000000" w:rsidRPr="00000000">
        <w:rPr>
          <w:rFonts w:ascii="Times New Roman" w:cs="Times New Roman" w:eastAsia="Times New Roman" w:hAnsi="Times New Roman"/>
          <w:sz w:val="24"/>
          <w:szCs w:val="24"/>
          <w:rtl w:val="0"/>
        </w:rPr>
        <w:t xml:space="preserve"> of -2.5406 percent and is classified as theory-weakening. Across the three primary cases, there is one supportive observation, zero null observations, and two theory-weakening observations.</w:t>
      </w:r>
    </w:p>
    <w:p w:rsidR="00000000" w:rsidDel="00000000" w:rsidP="00000000" w:rsidRDefault="00000000" w:rsidRPr="00000000" w14:paraId="000000E6">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descriptive primary-case returns show a similar pattern of variation across firms and events. E009 / INTC had a Day0_AR of -1.2456 percent and a CAR[-7,+7] of -0.0288 percent. E010 / TSM had a Day0_AR of 0.8229 percent and a CAR[-7,+7] of 5.9035 percent. E012 / MU had a Day0_AR of -2.1785 percent and a CAR[-7,+7] of -3.2454 percent. These descriptive measures provide additional context, but they do not replace the primary classification based on </w:t>
      </w:r>
      <w:r w:rsidDel="00000000" w:rsidR="00000000" w:rsidRPr="00000000">
        <w:rPr>
          <w:rFonts w:ascii="Times New Roman" w:cs="Times New Roman" w:eastAsia="Times New Roman" w:hAnsi="Times New Roman"/>
          <w:sz w:val="24"/>
          <w:szCs w:val="24"/>
          <w:rtl w:val="0"/>
        </w:rPr>
        <w:t xml:space="preserve">car_sector_m1_p1</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7">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broader descriptive support-event summary also shows mixed evidence. Across twelve support-event observations, the mean CAR was -1.3873 percent, the median CAR was 0.0847 percent, and the positive share was 50.0000 percent. The maximum CAR was 5.9035 percent, and the minimum CAR was -9.9906 percent. These descriptive statistics do not show uniformly positive market reactions across the broader support-event sample.</w:t>
      </w:r>
    </w:p>
    <w:p w:rsidR="00000000" w:rsidDel="00000000" w:rsidP="00000000" w:rsidRDefault="00000000" w:rsidRPr="00000000" w14:paraId="000000E8">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recipient versus non-recipient comparison is also mixed. Recipient observations had a mean CAR of -0.3186 percent, a median CAR of -0.0288 percent, and a positive share of 40.0000 percent. Non-recipient observations had a mean CAR of -2.1506 percent, a median CAR of 0.1983 percent, and a positive share of 57.1429 percent. These descriptive results do not support a claim that recipient firms systematically outperform non-recipient firms.</w:t>
      </w:r>
    </w:p>
    <w:p w:rsidR="00000000" w:rsidDel="00000000" w:rsidP="00000000" w:rsidRDefault="00000000" w:rsidRPr="00000000" w14:paraId="000000E9">
      <w:pPr>
        <w:pStyle w:val="Heading4"/>
        <w:keepNext w:val="0"/>
        <w:keepLines w:val="0"/>
        <w:spacing w:after="0" w:lineRule="auto"/>
        <w:rPr>
          <w:rFonts w:ascii="Times New Roman" w:cs="Times New Roman" w:eastAsia="Times New Roman" w:hAnsi="Times New Roman"/>
          <w:color w:val="000000"/>
        </w:rPr>
      </w:pPr>
      <w:bookmarkStart w:colFirst="0" w:colLast="0" w:name="_1egfr6a1na20" w:id="50"/>
      <w:bookmarkEnd w:id="50"/>
      <w:r w:rsidDel="00000000" w:rsidR="00000000" w:rsidRPr="00000000">
        <w:rPr>
          <w:rFonts w:ascii="Times New Roman" w:cs="Times New Roman" w:eastAsia="Times New Roman" w:hAnsi="Times New Roman"/>
          <w:color w:val="000000"/>
          <w:rtl w:val="0"/>
        </w:rPr>
        <w:t xml:space="preserve">6.2 Interpretation of Findings</w:t>
      </w:r>
    </w:p>
    <w:p w:rsidR="00000000" w:rsidDel="00000000" w:rsidP="00000000" w:rsidRDefault="00000000" w:rsidRPr="00000000" w14:paraId="000000EA">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results should be interpreted within the pre-committed evidence rules. The main empirical finding is not that state support announcements consistently generate positive market reactions. The main finding is that reactions are heterogeneous across the primary cases and across the broader descriptive support-event sample.</w:t>
      </w:r>
    </w:p>
    <w:p w:rsidR="00000000" w:rsidDel="00000000" w:rsidP="00000000" w:rsidRDefault="00000000" w:rsidRPr="00000000" w14:paraId="000000EB">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E010 / TSM is the only primary case classified as supportive under the pre-committed rule. Its sector-adjusted CAR[-1,+1] is positive and exceeds the +0.25 percentage point threshold. This case is therefore consistent with the State Support mechanism as operationalised in the research design.</w:t>
      </w:r>
    </w:p>
    <w:p w:rsidR="00000000" w:rsidDel="00000000" w:rsidP="00000000" w:rsidRDefault="00000000" w:rsidRPr="00000000" w14:paraId="000000EC">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E009 / INTC and E012 / MU are both classified as theory-weakening. In both cases, the named beneficiary has a negative </w:t>
      </w:r>
      <w:r w:rsidDel="00000000" w:rsidR="00000000" w:rsidRPr="00000000">
        <w:rPr>
          <w:rFonts w:ascii="Times New Roman" w:cs="Times New Roman" w:eastAsia="Times New Roman" w:hAnsi="Times New Roman"/>
          <w:sz w:val="24"/>
          <w:szCs w:val="24"/>
          <w:rtl w:val="0"/>
        </w:rPr>
        <w:t xml:space="preserve">car_sector_m1_p1</w:t>
      </w:r>
      <w:r w:rsidDel="00000000" w:rsidR="00000000" w:rsidRPr="00000000">
        <w:rPr>
          <w:rFonts w:ascii="Times New Roman" w:cs="Times New Roman" w:eastAsia="Times New Roman" w:hAnsi="Times New Roman"/>
          <w:sz w:val="24"/>
          <w:szCs w:val="24"/>
          <w:rtl w:val="0"/>
        </w:rPr>
        <w:t xml:space="preserve"> below the -0.25 percentage point threshold. Under the pre-data commitment, these outcomes cannot be reclassified as supportive by pointing to other windows, broader benchmarks, or post hoc explanations. They remain theory-weakening for the primary event-study test.</w:t>
      </w:r>
    </w:p>
    <w:p w:rsidR="00000000" w:rsidDel="00000000" w:rsidP="00000000" w:rsidRDefault="00000000" w:rsidRPr="00000000" w14:paraId="000000ED">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wider-window descriptive results provide context but do not alter the primary classifications. CAR[-7,+7] was not the pre-committed primary outcome. It is reported descriptively because it shows wider event-window movement, but it is more vulnerable to confounding news and broader market conditions than the short sector-adjusted window. For that reason, the Chapter 5 descriptive exhibits should be read as supplementary to the primary outcome, not as replacements for it (Kothari &amp; Warner, 2007; MacKinlay, 1997).</w:t>
      </w:r>
    </w:p>
    <w:p w:rsidR="00000000" w:rsidDel="00000000" w:rsidP="00000000" w:rsidRDefault="00000000" w:rsidRPr="00000000" w14:paraId="000000EE">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recipient versus non-recipient comparison likewise remains descriptive. The validated comparison does not show systematic recipient outperformance. Recipient observations have a less negative mean CAR than non-recipient observations, but recipients have a lower positive share. Because the sample is small and descriptive, these values should be reported as patterns in the locked evidence package rather than treated as a statistical test.</w:t>
      </w:r>
    </w:p>
    <w:p w:rsidR="00000000" w:rsidDel="00000000" w:rsidP="00000000" w:rsidRDefault="00000000" w:rsidRPr="00000000" w14:paraId="000000EF">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results therefore support a cautious reading. Market reactions to state-support announcements are not uniform. Some observations are consistent with the State Support mechanism, while others weaken it under the project’s own pre-committed criteria. The evidence is strongest as an event-by-event account of heterogeneous market reactions, not as a broad confirmation of the theory.</w:t>
      </w:r>
    </w:p>
    <w:p w:rsidR="00000000" w:rsidDel="00000000" w:rsidP="00000000" w:rsidRDefault="00000000" w:rsidRPr="00000000" w14:paraId="000000F0">
      <w:pPr>
        <w:pStyle w:val="Heading4"/>
        <w:keepNext w:val="0"/>
        <w:keepLines w:val="0"/>
        <w:spacing w:after="0" w:lineRule="auto"/>
        <w:rPr>
          <w:rFonts w:ascii="Times New Roman" w:cs="Times New Roman" w:eastAsia="Times New Roman" w:hAnsi="Times New Roman"/>
          <w:color w:val="000000"/>
        </w:rPr>
      </w:pPr>
      <w:bookmarkStart w:colFirst="0" w:colLast="0" w:name="_tpo8myrjyk1v" w:id="51"/>
      <w:bookmarkEnd w:id="51"/>
      <w:r w:rsidDel="00000000" w:rsidR="00000000" w:rsidRPr="00000000">
        <w:rPr>
          <w:rFonts w:ascii="Times New Roman" w:cs="Times New Roman" w:eastAsia="Times New Roman" w:hAnsi="Times New Roman"/>
          <w:color w:val="000000"/>
          <w:rtl w:val="0"/>
        </w:rPr>
        <w:t xml:space="preserve">6.3 Implications for the State Support Mechanism</w:t>
      </w:r>
    </w:p>
    <w:p w:rsidR="00000000" w:rsidDel="00000000" w:rsidP="00000000" w:rsidRDefault="00000000" w:rsidRPr="00000000" w14:paraId="000000F1">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frozen theory defines Strategic Importance as a scope condition, State Support as the mechanism, Investor Interpretation as the transmission process, and Positive Market Reaction as the outcome. The evidence does not require changing this framework, but it does limit what can be claimed about it. This interpretation is consistent with the literature synthesis in Chapter 2: geopolitical risk, economic statecraft, industrial policy, and market-reaction literatures each explain part of the causal chain, but the dissertation tests whether those parts combine empirically in observable market reactions.</w:t>
      </w:r>
    </w:p>
    <w:p w:rsidR="00000000" w:rsidDel="00000000" w:rsidP="00000000" w:rsidRDefault="00000000" w:rsidRPr="00000000" w14:paraId="000000F2">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findings indicate that Strategic Importance is not sufficient to generate positive market reactions. All three primary cases involve strategically important semiconductor firms receiving named support, yet only one of the three primary observations is classified as supportive. This is consistent with the theoretical distinction between Strategic Importance and State Support. Strategic Importance identifies where state attention is likely, but it does not guarantee that investors will price the event positively.</w:t>
      </w:r>
    </w:p>
    <w:p w:rsidR="00000000" w:rsidDel="00000000" w:rsidP="00000000" w:rsidRDefault="00000000" w:rsidRPr="00000000" w14:paraId="000000F3">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findings also show that State Support does not automatically produce a positive market reaction. The theory treats State Support as the mechanism through which geopolitical competition may become market opportunity, but the primary results show that named state support can coincide with negative sector-adjusted returns. This does not introduce a new mechanism; it reflects the limits of the existing mechanism under the observed cases.</w:t>
      </w:r>
    </w:p>
    <w:p w:rsidR="00000000" w:rsidDel="00000000" w:rsidP="00000000" w:rsidRDefault="00000000" w:rsidRPr="00000000" w14:paraId="000000F4">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Investor Interpretation remains central to understanding the empirical pattern. The same broad category of support events produced different market reactions across firms. E010 / TSM was classified as supportive, while E009 / INTC and E012 / MU were classified as theory-weakening. The market reaction therefore appears uneven across cases. The evidence is consistent with the frozen theory’s claim that investors may interpret geopolitical events as mixed signals rather than uniformly positive or uniformly negative events.</w:t>
      </w:r>
    </w:p>
    <w:p w:rsidR="00000000" w:rsidDel="00000000" w:rsidP="00000000" w:rsidRDefault="00000000" w:rsidRPr="00000000" w14:paraId="000000F5">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outcome variable, Positive Market Reaction, is observed only in part of the primary sample. The dissertation therefore cannot claim that the State Support mechanism is generally confirmed. It can claim that the mechanism is supported in one primary case and weakened in two primary cases under the pre-committed rule. This distinction is important for preserving the integrity of the research design. The theory was structured so that negative sector-adjusted beneficiary reactions would count against the argument. The results should be reported accordingly.</w:t>
      </w:r>
    </w:p>
    <w:p w:rsidR="00000000" w:rsidDel="00000000" w:rsidP="00000000" w:rsidRDefault="00000000" w:rsidRPr="00000000" w14:paraId="000000F6">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broader descriptive evidence reinforces this cautious assessment. The support-event sample has a 50.0000 percent positive CAR share, and the recipient versus non-recipient comparison does not show systematic recipient outperformance. These patterns are consistent with heterogeneity, not with a general rule that subsidy awards or state-support announcements reliably produce positive abnormal returns for named firms.</w:t>
      </w:r>
    </w:p>
    <w:p w:rsidR="00000000" w:rsidDel="00000000" w:rsidP="00000000" w:rsidRDefault="00000000" w:rsidRPr="00000000" w14:paraId="000000F7">
      <w:pPr>
        <w:pStyle w:val="Heading4"/>
        <w:keepNext w:val="0"/>
        <w:keepLines w:val="0"/>
        <w:spacing w:after="0" w:lineRule="auto"/>
        <w:rPr>
          <w:rFonts w:ascii="Times New Roman" w:cs="Times New Roman" w:eastAsia="Times New Roman" w:hAnsi="Times New Roman"/>
          <w:color w:val="000000"/>
        </w:rPr>
      </w:pPr>
      <w:bookmarkStart w:colFirst="0" w:colLast="0" w:name="_lnrwgbdtwfdo" w:id="52"/>
      <w:bookmarkEnd w:id="52"/>
      <w:r w:rsidDel="00000000" w:rsidR="00000000" w:rsidRPr="00000000">
        <w:rPr>
          <w:rFonts w:ascii="Times New Roman" w:cs="Times New Roman" w:eastAsia="Times New Roman" w:hAnsi="Times New Roman"/>
          <w:color w:val="000000"/>
          <w:rtl w:val="0"/>
        </w:rPr>
        <w:t xml:space="preserve">6.4 Limitations</w:t>
      </w:r>
    </w:p>
    <w:p w:rsidR="00000000" w:rsidDel="00000000" w:rsidP="00000000" w:rsidRDefault="00000000" w:rsidRPr="00000000" w14:paraId="000000F8">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1st limitation is sample size. The primary test contains three event-firm observations. The broader descriptive support-event summary contains twelve observations. This is appropriate for a transparent event-study dissertation design, but it does not support large-N statistical inference. The results should therefore be treated as a small-sample test of a mechanism rather than a general estimate of state-support effects.</w:t>
      </w:r>
    </w:p>
    <w:p w:rsidR="00000000" w:rsidDel="00000000" w:rsidP="00000000" w:rsidRDefault="00000000" w:rsidRPr="00000000" w14:paraId="000000F9">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2nd limitation is sector scope. The empirical setting is semiconductor state support, especially CHIPS Act-related announcements. Semiconductors are a theoretically appropriate setting because they are strategically important and subject to observable state support. However, the findings cannot be generalised directly to defense, energy security, critical minerals, telecommunications, AI infrastructure, or other strategic sectors without additional evidence.</w:t>
      </w:r>
    </w:p>
    <w:p w:rsidR="00000000" w:rsidDel="00000000" w:rsidP="00000000" w:rsidRDefault="00000000" w:rsidRPr="00000000" w14:paraId="000000FA">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3rd limitation is event-study identification. Policy announcements may be anticipated before the official event date. Market participants may price information gradually through negotiations, media reports, prior investment commitments, or earlier policy signals. A short-window event study can capture market reactions around observable announcements, but it cannot eliminate anticipation concerns. This is a standard limitation of event-study designs, especially when policy events are partly public before formal announcement dates (Kothari &amp; Warner, 2007; MacKinlay, 1997).</w:t>
      </w:r>
    </w:p>
    <w:p w:rsidR="00000000" w:rsidDel="00000000" w:rsidP="00000000" w:rsidRDefault="00000000" w:rsidRPr="00000000" w14:paraId="000000FB">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4th limitation is confounding market movement. Semiconductor firms in the relevant period were affected by sector-specific expectations, technology cycles, AI-related demand, interest rates, and firm-specific news. The design uses SMH-adjusted returns to reduce the risk that broad semiconductor movement is mistaken for a firm-specific support effect. Sector adjustment improves the design, but it does not remove every possible confound.</w:t>
      </w:r>
    </w:p>
    <w:p w:rsidR="00000000" w:rsidDel="00000000" w:rsidP="00000000" w:rsidRDefault="00000000" w:rsidRPr="00000000" w14:paraId="000000FC">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5th limitation is beneficiary selection. Firms receiving state support are not randomly assigned to treatment. Governments select firms for political, strategic, industrial, and commercial reasons. The dissertation therefore tests market interpretation of state selection and support, not the causal effect of randomly assigned support.</w:t>
      </w:r>
    </w:p>
    <w:p w:rsidR="00000000" w:rsidDel="00000000" w:rsidP="00000000" w:rsidRDefault="00000000" w:rsidRPr="00000000" w14:paraId="000000FD">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6th limitation is measurement of foreign-linked firms. TSM is traded as an ADR and is included in the primary validated output. Samsung appears in the broader descriptive support-event audit, but foreign-market timing and instrument availability complicate treatment. These issues support the dissertation’s decision to keep the primary test narrow and to separate primary evidence from broader descriptive summaries.</w:t>
      </w:r>
    </w:p>
    <w:p w:rsidR="00000000" w:rsidDel="00000000" w:rsidP="00000000" w:rsidRDefault="00000000" w:rsidRPr="00000000" w14:paraId="000000FE">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final limitation concerns interpretation. Market reactions are not long-term policy outcomes. A positive abnormal return does not show that state support improves productivity, social welfare, industrial capacity, or national security. A negative abnormal return does not prove that support has no long-term value. The analysis is limited to investor expectations around event windows, consistent with the distinction between market reaction and long-run policy evaluation in the event-study framework.</w:t>
      </w:r>
    </w:p>
    <w:p w:rsidR="00000000" w:rsidDel="00000000" w:rsidP="00000000" w:rsidRDefault="00000000" w:rsidRPr="00000000" w14:paraId="000000FF">
      <w:pPr>
        <w:pStyle w:val="Heading4"/>
        <w:keepNext w:val="0"/>
        <w:keepLines w:val="0"/>
        <w:spacing w:after="0" w:lineRule="auto"/>
        <w:rPr>
          <w:rFonts w:ascii="Times New Roman" w:cs="Times New Roman" w:eastAsia="Times New Roman" w:hAnsi="Times New Roman"/>
          <w:color w:val="000000"/>
        </w:rPr>
      </w:pPr>
      <w:bookmarkStart w:colFirst="0" w:colLast="0" w:name="_ea4u4r4g4vei" w:id="53"/>
      <w:bookmarkEnd w:id="53"/>
      <w:r w:rsidDel="00000000" w:rsidR="00000000" w:rsidRPr="00000000">
        <w:rPr>
          <w:rFonts w:ascii="Times New Roman" w:cs="Times New Roman" w:eastAsia="Times New Roman" w:hAnsi="Times New Roman"/>
          <w:color w:val="000000"/>
          <w:rtl w:val="0"/>
        </w:rPr>
        <w:t xml:space="preserve">6.5 Future Research</w:t>
      </w:r>
    </w:p>
    <w:p w:rsidR="00000000" w:rsidDel="00000000" w:rsidP="00000000" w:rsidRDefault="00000000" w:rsidRPr="00000000" w14:paraId="00000100">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Future research can extend the dissertation only by preserving the same discipline used in the current design: pre-specified events, frozen coding rules, clear outcome variables, and transparent validation.</w:t>
      </w:r>
    </w:p>
    <w:p w:rsidR="00000000" w:rsidDel="00000000" w:rsidP="00000000" w:rsidRDefault="00000000" w:rsidRPr="00000000" w14:paraId="00000101">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direction is to expand the event sample within semiconductors. Additional support announcements could be added if they are identified before return analysis and coded according to the same protocol. This would allow future work to assess whether the mixed pattern observed here persists across a larger set of semiconductor support events.</w:t>
      </w:r>
    </w:p>
    <w:p w:rsidR="00000000" w:rsidDel="00000000" w:rsidP="00000000" w:rsidRDefault="00000000" w:rsidRPr="00000000" w14:paraId="00000102">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second direction is to compare support events with threat-dominant contrast events more systematically. The frozen project distinguishes state-support events from export controls, restrictions, Entity List additions, and retaliation events. A larger design could evaluate whether threat-dominant events produce different market reactions from direct state-support events, while maintaining the distinction between primary support tests and contrast cases.</w:t>
      </w:r>
    </w:p>
    <w:p w:rsidR="00000000" w:rsidDel="00000000" w:rsidP="00000000" w:rsidRDefault="00000000" w:rsidRPr="00000000" w14:paraId="00000103">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third direction is to examine additional strategic sectors. Defense, energy security, critical minerals, telecommunications, and AI infrastructure all fit the broader scope conditions of the theory. However, these sectors should not be folded into the current dissertation sample after the fact. They would require separate event selection, coding, and validation.</w:t>
      </w:r>
    </w:p>
    <w:p w:rsidR="00000000" w:rsidDel="00000000" w:rsidP="00000000" w:rsidRDefault="00000000" w:rsidRPr="00000000" w14:paraId="00000104">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 fourth direction is to add text evidence on Investor Interpretation. Analyst reports, earnings-call language, financial media, and corporate statements could help identify whether investors and firms framed support as opportunity, cost offset, weakness signal, or strategic protection. Such evidence would not replace event-study outcomes, but it could help clarify the transmission process between State Support and market reaction. It would also address the interpretive gap between observed prices and the narratives investors use when evaluating mixed geopolitical-policy signals (Shiller, 2003).</w:t>
      </w:r>
    </w:p>
    <w:p w:rsidR="00000000" w:rsidDel="00000000" w:rsidP="00000000" w:rsidRDefault="00000000" w:rsidRPr="00000000" w14:paraId="00000105">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fifth direction is to refine peer comparisons. The current design uses sector benchmarks and linked firms where available. Future work could define more systematic peer groups by subsector, market exposure, country, or supply-chain role. This would be especially useful for distinguishing firm-specific reactions from broader semiconductor movement. These future directions do not alter the findings of the current dissertation. They identify ways to test the same frozen mechanism in broader or more detailed settings.</w:t>
      </w:r>
    </w:p>
    <w:p w:rsidR="00000000" w:rsidDel="00000000" w:rsidP="00000000" w:rsidRDefault="00000000" w:rsidRPr="00000000" w14:paraId="00000106">
      <w:pPr>
        <w:pStyle w:val="Heading4"/>
        <w:keepNext w:val="0"/>
        <w:keepLines w:val="0"/>
        <w:spacing w:after="0" w:lineRule="auto"/>
        <w:rPr>
          <w:rFonts w:ascii="Times New Roman" w:cs="Times New Roman" w:eastAsia="Times New Roman" w:hAnsi="Times New Roman"/>
          <w:color w:val="000000"/>
        </w:rPr>
      </w:pPr>
      <w:bookmarkStart w:colFirst="0" w:colLast="0" w:name="_diy20u2nk37x" w:id="54"/>
      <w:bookmarkEnd w:id="54"/>
      <w:r w:rsidDel="00000000" w:rsidR="00000000" w:rsidRPr="00000000">
        <w:rPr>
          <w:rFonts w:ascii="Times New Roman" w:cs="Times New Roman" w:eastAsia="Times New Roman" w:hAnsi="Times New Roman"/>
          <w:color w:val="000000"/>
          <w:rtl w:val="0"/>
        </w:rPr>
        <w:t xml:space="preserve">6.6 Conclusion</w:t>
      </w:r>
    </w:p>
    <w:p w:rsidR="00000000" w:rsidDel="00000000" w:rsidP="00000000" w:rsidRDefault="00000000" w:rsidRPr="00000000" w14:paraId="00000107">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dissertation examined a narrow question: when do financial markets interpret geopolitical competition as a source of state-backed opportunity for strategically important firms? The theory proposes a conditional pathway in which Geopolitical Competition increases Strategic Importance, Strategic Importance creates the scope for State Support, State Support is transmitted through Investor Interpretation, and the observed outcome is a Positive Market Reaction.</w:t>
      </w:r>
    </w:p>
    <w:p w:rsidR="00000000" w:rsidDel="00000000" w:rsidP="00000000" w:rsidRDefault="00000000" w:rsidRPr="00000000" w14:paraId="00000108">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empirical evidence is mixed. Under the pre-committed primary outcome, E010 / TSM is supportive, while E009 / INTC and E012 / MU are theory-weakening. The broader descriptive support-event evidence also shows variation rather than uniform positive reactions. Recipient observations do not systematically outperform non-recipient observations in the descriptive comparison.</w:t>
      </w:r>
    </w:p>
    <w:p w:rsidR="00000000" w:rsidDel="00000000" w:rsidP="00000000" w:rsidRDefault="00000000" w:rsidRPr="00000000" w14:paraId="00000109">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dissertation therefore does not show that geopolitical competition is generally good for markets. It does not show that state support reliably creates positive abnormal returns. It does not show that named recipients systematically outperform peers or non-recipients. It also does not establish a causal effect of support independent of anticipation, selection, or sector conditions.</w:t>
      </w:r>
    </w:p>
    <w:p w:rsidR="00000000" w:rsidDel="00000000" w:rsidP="00000000" w:rsidRDefault="00000000" w:rsidRPr="00000000" w14:paraId="0000010A">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What the dissertation does provide is a disciplined test of the State Support mechanism using frozen theory, frozen coding, a pre-committed primary outcome, and validated event-study outputs. The evidence supports a limited conclusion: state-backed opportunity is empirically uneven. It appears in one primary case and is weakened in two others under the dissertation's own classification rule. The strongest contribution is therefore not a broad confirmation of the theory, but a transparent demonstration of how the State Support mechanism can be tested, constrained, and evaluated against evidence.</w:t>
      </w:r>
    </w:p>
    <w:p w:rsidR="00000000" w:rsidDel="00000000" w:rsidP="00000000" w:rsidRDefault="00000000" w:rsidRPr="00000000" w14:paraId="0000010B">
      <w:pPr>
        <w:spacing w:after="0" w:before="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C">
      <w:pPr>
        <w:spacing w:after="0" w:before="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D">
      <w:pPr>
        <w:spacing w:after="0" w:before="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E">
      <w:pPr>
        <w:spacing w:after="0" w:before="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F">
      <w:pPr>
        <w:spacing w:after="0" w:before="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0">
      <w:pPr>
        <w:spacing w:after="0" w:before="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1">
      <w:pPr>
        <w:spacing w:after="0" w:before="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2">
      <w:pPr>
        <w:spacing w:after="0" w:before="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3">
      <w:pPr>
        <w:spacing w:after="0" w:before="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4">
      <w:pPr>
        <w:spacing w:after="0" w:before="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5">
      <w:pPr>
        <w:spacing w:after="0" w:before="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6">
      <w:pPr>
        <w:pStyle w:val="Heading3"/>
        <w:jc w:val="center"/>
        <w:rPr>
          <w:rFonts w:ascii="Times New Roman" w:cs="Times New Roman" w:eastAsia="Times New Roman" w:hAnsi="Times New Roman"/>
          <w:b w:val="1"/>
          <w:bCs w:val="1"/>
          <w:i w:val="1"/>
          <w:iCs w:val="1"/>
          <w:color w:val="000000"/>
          <w:sz w:val="24"/>
          <w:szCs w:val="24"/>
        </w:rPr>
      </w:pPr>
      <w:bookmarkStart w:colFirst="0" w:colLast="0" w:name="_rmfam91jcrs9" w:id="55"/>
      <w:bookmarkEnd w:id="55"/>
      <w:r w:rsidDel="00000000" w:rsidR="00000000" w:rsidRPr="00000000">
        <w:rPr>
          <w:rFonts w:ascii="Times New Roman" w:cs="Times New Roman" w:eastAsia="Times New Roman" w:hAnsi="Times New Roman"/>
          <w:b w:val="1"/>
          <w:bCs w:val="1"/>
          <w:i w:val="1"/>
          <w:iCs w:val="1"/>
          <w:color w:val="000000"/>
          <w:sz w:val="24"/>
          <w:szCs w:val="24"/>
          <w:rtl w:val="0"/>
        </w:rPr>
        <w:t xml:space="preserve">Works Cited</w:t>
      </w:r>
    </w:p>
    <w:p w:rsidR="00000000" w:rsidDel="00000000" w:rsidP="00000000" w:rsidRDefault="00000000" w:rsidRPr="00000000" w14:paraId="00000117">
      <w:pPr>
        <w:rPr>
          <w:rFonts w:ascii="Times New Roman" w:cs="Times New Roman" w:eastAsia="Times New Roman" w:hAnsi="Times New Roman"/>
          <w:sz w:val="24"/>
          <w:szCs w:val="24"/>
        </w:rPr>
      </w:pPr>
      <w:r>
        <w:t>Amsden, A. H. (2001). The rise of “the rest”: Challenges to the West from late-industrializing economies. Oxford University Press.</w:t>
      </w:r>
    </w:p>
    <w:p w:rsidR="00000000" w:rsidDel="00000000" w:rsidP="00000000" w:rsidRDefault="00000000" w:rsidRPr="00000000" w14:paraId="00000118">
      <w:pPr>
        <w:ind w:firstLine="720"/>
        <w:rPr>
          <w:rFonts w:ascii="Times New Roman" w:cs="Times New Roman" w:eastAsia="Times New Roman" w:hAnsi="Times New Roman"/>
          <w:sz w:val="24"/>
          <w:szCs w:val="24"/>
        </w:rPr>
      </w:pPr>
      <w:r>
        <w:t>Baldwin, D. A. (1985). Economic statecraft. Princeton University Press.</w:t>
      </w:r>
    </w:p>
    <w:p w:rsidR="00000000" w:rsidDel="00000000" w:rsidP="00000000" w:rsidRDefault="00000000" w:rsidRPr="00000000" w14:paraId="00000119">
      <w:pPr>
        <w:rPr>
          <w:rFonts w:ascii="Times New Roman" w:cs="Times New Roman" w:eastAsia="Times New Roman" w:hAnsi="Times New Roman"/>
          <w:sz w:val="24"/>
          <w:szCs w:val="24"/>
        </w:rPr>
      </w:pPr>
      <w:r>
        <w:t>Blackwill, R. D., &amp; Harris, J. M. (2016). War by other means: Geoeconomics and statecraft. Belknap Press of Harvard University Press.</w:t>
      </w:r>
    </w:p>
    <w:p w:rsidR="00000000" w:rsidDel="00000000" w:rsidP="00000000" w:rsidRDefault="00000000" w:rsidRPr="00000000" w14:paraId="0000011A">
      <w:pPr>
        <w:ind w:firstLine="720"/>
        <w:rPr>
          <w:rFonts w:ascii="Times New Roman" w:cs="Times New Roman" w:eastAsia="Times New Roman" w:hAnsi="Times New Roman"/>
          <w:sz w:val="24"/>
          <w:szCs w:val="24"/>
        </w:rPr>
      </w:pPr>
      <w:r>
        <w:t>Block, F., &amp; Keller, M. R. (Eds.). (2011). State of innovation: The U.S. government's role in technology development. Paradigm Publishers.</w:t>
      </w:r>
    </w:p>
    <w:p w:rsidR="00000000" w:rsidDel="00000000" w:rsidP="00000000" w:rsidRDefault="00000000" w:rsidRPr="00000000" w14:paraId="0000011B">
      <w:pPr>
        <w:rPr>
          <w:rFonts w:ascii="Times New Roman" w:cs="Times New Roman" w:eastAsia="Times New Roman" w:hAnsi="Times New Roman"/>
          <w:sz w:val="24"/>
          <w:szCs w:val="24"/>
        </w:rPr>
      </w:pPr>
      <w:r>
        <w:t>Brown, S. J., &amp; Warner, J. B. (1985). Using daily stock returns: The case of event studies. Journal of Financial Economics, 14(1), 3–31.</w:t>
      </w:r>
    </w:p>
    <w:p w:rsidR="00000000" w:rsidDel="00000000" w:rsidP="00000000" w:rsidRDefault="00000000" w:rsidRPr="00000000" w14:paraId="0000011C">
      <w:pPr>
        <w:rPr>
          <w:rFonts w:ascii="Times New Roman" w:cs="Times New Roman" w:eastAsia="Times New Roman" w:hAnsi="Times New Roman"/>
          <w:sz w:val="24"/>
          <w:szCs w:val="24"/>
        </w:rPr>
      </w:pPr>
      <w:r>
        <w:t>Caldara, D., &amp; Iacoviello, M. (2022). Measuring geopolitical risk. American Economic Review, 112(4), 1194–1225.</w:t>
      </w:r>
    </w:p>
    <w:p w:rsidR="00000000" w:rsidDel="00000000" w:rsidP="00000000" w:rsidRDefault="00000000" w:rsidRPr="00000000" w14:paraId="0000011D">
      <w:pPr>
        <w:ind w:firstLine="720"/>
        <w:rPr>
          <w:rFonts w:ascii="Times New Roman" w:cs="Times New Roman" w:eastAsia="Times New Roman" w:hAnsi="Times New Roman"/>
          <w:sz w:val="24"/>
          <w:szCs w:val="24"/>
        </w:rPr>
      </w:pPr>
      <w:r>
        <w:t>Campbell, J. Y., Lo, A. W., &amp; MacKinlay, A. C. (1997). The econometrics of financial markets. Princeton University Press.</w:t>
      </w:r>
    </w:p>
    <w:p w:rsidR="00000000" w:rsidDel="00000000" w:rsidP="00000000" w:rsidRDefault="00000000" w:rsidRPr="00000000" w14:paraId="0000011E">
      <w:pPr>
        <w:rPr>
          <w:rFonts w:ascii="Times New Roman" w:cs="Times New Roman" w:eastAsia="Times New Roman" w:hAnsi="Times New Roman"/>
          <w:sz w:val="24"/>
          <w:szCs w:val="24"/>
        </w:rPr>
      </w:pPr>
      <w:r>
        <w:t>Chang, H.-J. (2002). Kicking away the ladder: Development strategy in historical perspective. Anthem Press.</w:t>
      </w:r>
    </w:p>
    <w:p w:rsidR="00000000" w:rsidDel="00000000" w:rsidP="00000000" w:rsidRDefault="00000000" w:rsidRPr="00000000" w14:paraId="0000011F">
      <w:pPr>
        <w:ind w:firstLine="720"/>
        <w:rPr>
          <w:rFonts w:ascii="Times New Roman" w:cs="Times New Roman" w:eastAsia="Times New Roman" w:hAnsi="Times New Roman"/>
          <w:sz w:val="24"/>
          <w:szCs w:val="24"/>
        </w:rPr>
      </w:pPr>
      <w:r>
        <w:t>Evans, P. (1995). Embedded autonomy: States and industrial transformation. Princeton University Press.</w:t>
      </w:r>
    </w:p>
    <w:p w:rsidR="00000000" w:rsidDel="00000000" w:rsidP="00000000" w:rsidRDefault="00000000" w:rsidRPr="00000000" w14:paraId="00000120">
      <w:pPr>
        <w:rPr>
          <w:rFonts w:ascii="Times New Roman" w:cs="Times New Roman" w:eastAsia="Times New Roman" w:hAnsi="Times New Roman"/>
          <w:sz w:val="24"/>
          <w:szCs w:val="24"/>
        </w:rPr>
      </w:pPr>
      <w:r>
        <w:t>Fama, E. F. (1970). Efficient capital markets: A review of theory and empirical work. Journal of Finance, 25(2), 383–417.</w:t>
      </w:r>
    </w:p>
    <w:p w:rsidR="00000000" w:rsidDel="00000000" w:rsidP="00000000" w:rsidRDefault="00000000" w:rsidRPr="00000000" w14:paraId="00000121">
      <w:pPr>
        <w:ind w:firstLine="720"/>
        <w:rPr>
          <w:rFonts w:ascii="Times New Roman" w:cs="Times New Roman" w:eastAsia="Times New Roman" w:hAnsi="Times New Roman"/>
          <w:sz w:val="24"/>
          <w:szCs w:val="24"/>
        </w:rPr>
      </w:pPr>
      <w:r>
        <w:t>Fama, E. F., Fisher, L., Jensen, M. C., &amp; Roll, R. (1969). The adjustment of stock prices to new information. International Economic Review, 10(1), 1–21.</w:t>
      </w:r>
    </w:p>
    <w:p w:rsidR="00000000" w:rsidDel="00000000" w:rsidP="00000000" w:rsidRDefault="00000000" w:rsidRPr="00000000" w14:paraId="00000122">
      <w:pPr>
        <w:ind w:left="0" w:firstLine="0"/>
        <w:rPr>
          <w:rFonts w:ascii="Times New Roman" w:cs="Times New Roman" w:eastAsia="Times New Roman" w:hAnsi="Times New Roman"/>
          <w:sz w:val="24"/>
          <w:szCs w:val="24"/>
        </w:rPr>
      </w:pPr>
      <w:r>
        <w:t>Farrell, H., &amp; Newman, A. L. (2019). Weaponized interdependence. International Security, 44(1), 42–79.</w:t>
      </w:r>
    </w:p>
    <w:p w:rsidR="00000000" w:rsidDel="00000000" w:rsidP="00000000" w:rsidRDefault="00000000" w:rsidRPr="00000000" w14:paraId="00000123">
      <w:pPr>
        <w:ind w:left="0" w:firstLine="720"/>
        <w:rPr>
          <w:rFonts w:ascii="Times New Roman" w:cs="Times New Roman" w:eastAsia="Times New Roman" w:hAnsi="Times New Roman"/>
          <w:sz w:val="24"/>
          <w:szCs w:val="24"/>
        </w:rPr>
      </w:pPr>
      <w:r>
        <w:t>Farrell, H., &amp; Newman, A. L. (2023). Underground empire: How America weaponized the world economy. Henry Holt and Company.</w:t>
      </w:r>
    </w:p>
    <w:p w:rsidR="00000000" w:rsidDel="00000000" w:rsidP="00000000" w:rsidRDefault="00000000" w:rsidRPr="00000000" w14:paraId="00000124">
      <w:pPr>
        <w:ind w:left="0" w:firstLine="720"/>
        <w:rPr>
          <w:rFonts w:ascii="Times New Roman" w:cs="Times New Roman" w:eastAsia="Times New Roman" w:hAnsi="Times New Roman"/>
          <w:sz w:val="24"/>
          <w:szCs w:val="24"/>
        </w:rPr>
      </w:pPr>
      <w:r>
        <w:t>Gelman, A., &amp; Loken, E. (2014). The statistical crisis in science. American Scientist, 102(6), 460–465.</w:t>
      </w:r>
    </w:p>
    <w:p w:rsidR="00000000" w:rsidDel="00000000" w:rsidP="00000000" w:rsidRDefault="00000000" w:rsidRPr="00000000" w14:paraId="00000125">
      <w:pPr>
        <w:rPr>
          <w:rFonts w:ascii="Times New Roman" w:cs="Times New Roman" w:eastAsia="Times New Roman" w:hAnsi="Times New Roman"/>
          <w:sz w:val="24"/>
          <w:szCs w:val="24"/>
        </w:rPr>
      </w:pPr>
      <w:r>
        <w:t>Gerschenkron, A. (1962). Economic backwardness in historical perspective. Harvard University Press.</w:t>
      </w:r>
    </w:p>
    <w:p w:rsidR="00000000" w:rsidDel="00000000" w:rsidP="00000000" w:rsidRDefault="00000000" w:rsidRPr="00000000" w14:paraId="00000126">
      <w:pPr>
        <w:ind w:firstLine="720"/>
        <w:rPr>
          <w:rFonts w:ascii="Times New Roman" w:cs="Times New Roman" w:eastAsia="Times New Roman" w:hAnsi="Times New Roman"/>
          <w:sz w:val="24"/>
          <w:szCs w:val="24"/>
        </w:rPr>
      </w:pPr>
      <w:r>
        <w:t>Hirschman, A. O. (1980). National power and the structure of foreign trade. University of California Press.</w:t>
      </w:r>
    </w:p>
    <w:p w:rsidR="00000000" w:rsidDel="00000000" w:rsidP="00000000" w:rsidRDefault="00000000" w:rsidRPr="00000000" w14:paraId="00000127">
      <w:pPr>
        <w:rPr>
          <w:rFonts w:ascii="Times New Roman" w:cs="Times New Roman" w:eastAsia="Times New Roman" w:hAnsi="Times New Roman"/>
          <w:sz w:val="24"/>
          <w:szCs w:val="24"/>
        </w:rPr>
      </w:pPr>
      <w:r>
        <w:t>Johnson, C. (1982). MITI and the Japanese miracle. Stanford University Press.</w:t>
      </w:r>
    </w:p>
    <w:p w:rsidR="00000000" w:rsidDel="00000000" w:rsidP="00000000" w:rsidRDefault="00000000" w:rsidRPr="00000000" w14:paraId="00000128">
      <w:pPr>
        <w:ind w:firstLine="720"/>
        <w:rPr>
          <w:rFonts w:ascii="Times New Roman" w:cs="Times New Roman" w:eastAsia="Times New Roman" w:hAnsi="Times New Roman"/>
          <w:sz w:val="24"/>
          <w:szCs w:val="24"/>
        </w:rPr>
      </w:pPr>
      <w:r>
        <w:t>Kothari, S. P., &amp; Warner, J. B. (2007). Econometrics of event studies. In Handbook of corporate finance: Empirical corporate finance (Vol. 1, pp. 3–36). Elsevier.</w:t>
      </w:r>
    </w:p>
    <w:p w:rsidR="00000000" w:rsidDel="00000000" w:rsidP="00000000" w:rsidRDefault="00000000" w:rsidRPr="00000000" w14:paraId="00000129">
      <w:pPr>
        <w:rPr>
          <w:rFonts w:ascii="Times New Roman" w:cs="Times New Roman" w:eastAsia="Times New Roman" w:hAnsi="Times New Roman"/>
          <w:sz w:val="24"/>
          <w:szCs w:val="24"/>
        </w:rPr>
      </w:pPr>
      <w:r>
        <w:t>Luttwak, E. N. (1990). From geopolitics to geo-economics. The National Interest, 20, 17–23.</w:t>
      </w:r>
    </w:p>
    <w:p w:rsidR="00000000" w:rsidDel="00000000" w:rsidP="00000000" w:rsidRDefault="00000000" w:rsidRPr="00000000" w14:paraId="0000012A">
      <w:pPr>
        <w:ind w:firstLine="720"/>
        <w:rPr>
          <w:rFonts w:ascii="Times New Roman" w:cs="Times New Roman" w:eastAsia="Times New Roman" w:hAnsi="Times New Roman"/>
          <w:sz w:val="24"/>
          <w:szCs w:val="24"/>
        </w:rPr>
      </w:pPr>
      <w:r>
        <w:t>MacKinlay, A. C. (1997). Event studies in economics and finance. Journal of Economic Literature, 35(1), 13–39.</w:t>
      </w:r>
    </w:p>
    <w:p w:rsidR="00000000" w:rsidDel="00000000" w:rsidP="00000000" w:rsidRDefault="00000000" w:rsidRPr="00000000" w14:paraId="0000012B">
      <w:pPr>
        <w:rPr>
          <w:rFonts w:ascii="Times New Roman" w:cs="Times New Roman" w:eastAsia="Times New Roman" w:hAnsi="Times New Roman"/>
          <w:sz w:val="24"/>
          <w:szCs w:val="24"/>
        </w:rPr>
      </w:pPr>
      <w:r>
        <w:t>Mazzucato, M. (2013). The entrepreneurial state. Anthem Press.</w:t>
      </w:r>
    </w:p>
    <w:p w:rsidR="00000000" w:rsidDel="00000000" w:rsidP="00000000" w:rsidRDefault="00000000" w:rsidRPr="00000000" w14:paraId="0000012C">
      <w:pPr>
        <w:ind w:firstLine="720"/>
        <w:rPr>
          <w:rFonts w:ascii="Times New Roman" w:cs="Times New Roman" w:eastAsia="Times New Roman" w:hAnsi="Times New Roman"/>
          <w:sz w:val="24"/>
          <w:szCs w:val="24"/>
        </w:rPr>
      </w:pPr>
      <w:r>
        <w:t>Mazzucato, M. (2021). Mission economy. Harper Business.</w:t>
      </w:r>
    </w:p>
    <w:p w:rsidR="00000000" w:rsidDel="00000000" w:rsidP="00000000" w:rsidRDefault="00000000" w:rsidRPr="00000000" w14:paraId="0000012D">
      <w:pPr>
        <w:rPr>
          <w:rFonts w:ascii="Times New Roman" w:cs="Times New Roman" w:eastAsia="Times New Roman" w:hAnsi="Times New Roman"/>
          <w:sz w:val="24"/>
          <w:szCs w:val="24"/>
        </w:rPr>
      </w:pPr>
      <w:r>
        <w:t>Nosek, B. A., et al. (2018). The preregistration revolution. PNAS, 115(11), 2600–2606.</w:t>
      </w:r>
    </w:p>
    <w:p w:rsidR="00000000" w:rsidDel="00000000" w:rsidP="00000000" w:rsidRDefault="00000000" w:rsidRPr="00000000" w14:paraId="0000012E">
      <w:pPr>
        <w:ind w:firstLine="720"/>
        <w:rPr>
          <w:rFonts w:ascii="Times New Roman" w:cs="Times New Roman" w:eastAsia="Times New Roman" w:hAnsi="Times New Roman"/>
          <w:sz w:val="24"/>
          <w:szCs w:val="24"/>
        </w:rPr>
      </w:pPr>
      <w:r>
        <w:t>Rodrik, D. (2004). Industrial policy for the twenty-first century. Harvard University.</w:t>
      </w:r>
    </w:p>
    <w:p w:rsidR="00000000" w:rsidDel="00000000" w:rsidP="00000000" w:rsidRDefault="00000000" w:rsidRPr="00000000" w14:paraId="0000012F">
      <w:pPr>
        <w:rPr>
          <w:rFonts w:ascii="Times New Roman" w:cs="Times New Roman" w:eastAsia="Times New Roman" w:hAnsi="Times New Roman"/>
          <w:sz w:val="24"/>
          <w:szCs w:val="24"/>
        </w:rPr>
      </w:pPr>
      <w:r>
        <w:t>Shiller, R. J. (2003). From efficient markets theory to behavioral finance. Journal of Economic Perspectives, 17(1), 83–104.</w:t>
      </w:r>
    </w:p>
    <w:p w:rsidR="00000000" w:rsidDel="00000000" w:rsidP="00000000" w:rsidRDefault="00000000" w:rsidRPr="00000000" w14:paraId="00000130">
      <w:pPr>
        <w:ind w:firstLine="720"/>
        <w:rPr>
          <w:rFonts w:ascii="Times New Roman" w:cs="Times New Roman" w:eastAsia="Times New Roman" w:hAnsi="Times New Roman"/>
          <w:sz w:val="24"/>
          <w:szCs w:val="24"/>
        </w:rPr>
      </w:pPr>
      <w:r>
        <w:t>Simmons, J. P., Nelson, L. D., &amp; Simonsohn, U. (2011). False-positive psychology. Psychological Science, 22(11), 1359–1366.</w:t>
      </w:r>
    </w:p>
    <w:p w:rsidR="00000000" w:rsidDel="00000000" w:rsidP="00000000" w:rsidRDefault="00000000" w:rsidRPr="00000000" w14:paraId="00000131">
      <w:pPr>
        <w:rPr>
          <w:rFonts w:ascii="Times New Roman" w:cs="Times New Roman" w:eastAsia="Times New Roman" w:hAnsi="Times New Roman"/>
          <w:sz w:val="24"/>
          <w:szCs w:val="24"/>
        </w:rPr>
      </w:pPr>
      <w:r>
        <w:t>Wade, R. (1990). Governing the market. Princeton University Press.</w:t>
      </w:r>
    </w:p>
    <w:p w:rsidR="00000000" w:rsidDel="00000000" w:rsidP="00000000" w:rsidRDefault="00000000" w:rsidRPr="00000000" w14:paraId="00000132">
      <w:pPr>
        <w:ind w:firstLine="720"/>
        <w:rPr>
          <w:rFonts w:ascii="Times New Roman" w:cs="Times New Roman" w:eastAsia="Times New Roman" w:hAnsi="Times New Roman"/>
          <w:sz w:val="24"/>
          <w:szCs w:val="24"/>
        </w:rPr>
      </w:pPr>
      <w:r>
        <w:t>Weiss, L. (2014). America Inc.? Cornell University Press.</w:t>
      </w:r>
    </w:p>
    <w:p w:rsidR="00000000" w:rsidDel="00000000" w:rsidP="00000000" w:rsidRDefault="00000000" w:rsidRPr="00000000" w14:paraId="00000133">
      <w:pPr>
        <w:ind w:firstLine="720"/>
        <w:rPr>
          <w:rFonts w:ascii="Times New Roman" w:cs="Times New Roman" w:eastAsia="Times New Roman" w:hAnsi="Times New Roman"/>
          <w:sz w:val="24"/>
          <w:szCs w:val="24"/>
        </w:rPr>
      </w:pPr>
    </w:p>
    <w:p w:rsidR="00000000" w:rsidDel="00000000" w:rsidP="00000000" w:rsidRDefault="00000000" w:rsidRPr="00000000" w14:paraId="00000134">
      <w:pPr>
        <w:rPr>
          <w:rFonts w:ascii="Times New Roman" w:cs="Times New Roman" w:eastAsia="Times New Roman" w:hAnsi="Times New Roman"/>
          <w:sz w:val="24"/>
          <w:szCs w:val="24"/>
        </w:rPr>
      </w:pPr>
    </w:p>
    <w:p w:rsidR="00000000" w:rsidDel="00000000" w:rsidP="00000000" w:rsidRDefault="00000000" w:rsidRPr="00000000" w14:paraId="00000135">
      <w:pPr>
        <w:ind w:firstLine="720"/>
        <w:rPr>
          <w:rFonts w:ascii="Times New Roman" w:cs="Times New Roman" w:eastAsia="Times New Roman" w:hAnsi="Times New Roman"/>
          <w:sz w:val="24"/>
          <w:szCs w:val="24"/>
        </w:rPr>
      </w:pPr>
    </w:p>
    <w:p w:rsidR="00000000" w:rsidDel="00000000" w:rsidP="00000000" w:rsidRDefault="00000000" w:rsidRPr="00000000" w14:paraId="00000136">
      <w:pPr>
        <w:ind w:firstLine="720"/>
        <w:rPr>
          <w:rFonts w:ascii="Times New Roman" w:cs="Times New Roman" w:eastAsia="Times New Roman" w:hAnsi="Times New Roman"/>
          <w:sz w:val="24"/>
          <w:szCs w:val="24"/>
        </w:rPr>
      </w:pPr>
    </w:p>
    <w:p w:rsidR="00000000" w:rsidDel="00000000" w:rsidP="00000000" w:rsidRDefault="00000000" w:rsidRPr="00000000" w14:paraId="00000137">
      <w:pPr>
        <w:rPr>
          <w:rFonts w:ascii="Times New Roman" w:cs="Times New Roman" w:eastAsia="Times New Roman" w:hAnsi="Times New Roman"/>
          <w:sz w:val="24"/>
          <w:szCs w:val="24"/>
        </w:rPr>
      </w:pPr>
    </w:p>
    <w:p w:rsidR="00000000" w:rsidDel="00000000" w:rsidP="00000000" w:rsidRDefault="00000000" w:rsidRPr="00000000" w14:paraId="00000138">
      <w:pPr>
        <w:ind w:firstLine="720"/>
        <w:rPr>
          <w:rFonts w:ascii="Times New Roman" w:cs="Times New Roman" w:eastAsia="Times New Roman" w:hAnsi="Times New Roman"/>
          <w:sz w:val="24"/>
          <w:szCs w:val="24"/>
        </w:rPr>
      </w:pPr>
    </w:p>
    <w:p w:rsidR="00000000" w:rsidDel="00000000" w:rsidP="00000000" w:rsidRDefault="00000000" w:rsidRPr="00000000" w14:paraId="00000139">
      <w:pPr>
        <w:rPr>
          <w:rFonts w:ascii="Times New Roman" w:cs="Times New Roman" w:eastAsia="Times New Roman" w:hAnsi="Times New Roman"/>
          <w:sz w:val="24"/>
          <w:szCs w:val="24"/>
        </w:rPr>
      </w:pPr>
    </w:p>
    <w:p w:rsidR="00000000" w:rsidDel="00000000" w:rsidP="00000000" w:rsidRDefault="00000000" w:rsidRPr="00000000" w14:paraId="0000013A">
      <w:pPr>
        <w:ind w:firstLine="720"/>
        <w:rPr>
          <w:rFonts w:ascii="Times New Roman" w:cs="Times New Roman" w:eastAsia="Times New Roman" w:hAnsi="Times New Roman"/>
          <w:sz w:val="24"/>
          <w:szCs w:val="24"/>
        </w:rPr>
      </w:pPr>
    </w:p>
    <w:p w:rsidR="00000000" w:rsidDel="00000000" w:rsidP="00000000" w:rsidRDefault="00000000" w:rsidRPr="00000000" w14:paraId="0000013B">
      <w:pPr>
        <w:rPr>
          <w:rFonts w:ascii="Times New Roman" w:cs="Times New Roman" w:eastAsia="Times New Roman" w:hAnsi="Times New Roman"/>
          <w:sz w:val="24"/>
          <w:szCs w:val="24"/>
        </w:rPr>
      </w:pPr>
    </w:p>
    <w:p w:rsidR="00000000" w:rsidDel="00000000" w:rsidP="00000000" w:rsidRDefault="00000000" w:rsidRPr="00000000" w14:paraId="0000013C">
      <w:pPr>
        <w:ind w:firstLine="720"/>
        <w:rPr>
          <w:rFonts w:ascii="Times New Roman" w:cs="Times New Roman" w:eastAsia="Times New Roman" w:hAnsi="Times New Roman"/>
          <w:sz w:val="24"/>
          <w:szCs w:val="24"/>
        </w:rPr>
      </w:pPr>
    </w:p>
    <w:p w:rsidR="00000000" w:rsidDel="00000000" w:rsidP="00000000" w:rsidRDefault="00000000" w:rsidRPr="00000000" w14:paraId="0000013D">
      <w:pPr>
        <w:rPr>
          <w:rFonts w:ascii="Times New Roman" w:cs="Times New Roman" w:eastAsia="Times New Roman" w:hAnsi="Times New Roman"/>
          <w:sz w:val="24"/>
          <w:szCs w:val="24"/>
        </w:rPr>
      </w:pPr>
    </w:p>
    <w:p w:rsidR="00000000" w:rsidDel="00000000" w:rsidP="00000000" w:rsidRDefault="00000000" w:rsidRPr="00000000" w14:paraId="0000013E">
      <w:pPr>
        <w:ind w:firstLine="720"/>
        <w:rPr>
          <w:rFonts w:ascii="Times New Roman" w:cs="Times New Roman" w:eastAsia="Times New Roman" w:hAnsi="Times New Roman"/>
          <w:sz w:val="24"/>
          <w:szCs w:val="24"/>
        </w:rPr>
      </w:pPr>
    </w:p>
    <w:p w:rsidR="00000000" w:rsidDel="00000000" w:rsidP="00000000" w:rsidRDefault="00000000" w:rsidRPr="00000000" w14:paraId="0000013F">
      <w:pPr>
        <w:rPr>
          <w:rFonts w:ascii="Times New Roman" w:cs="Times New Roman" w:eastAsia="Times New Roman" w:hAnsi="Times New Roman"/>
          <w:sz w:val="24"/>
          <w:szCs w:val="24"/>
        </w:rPr>
      </w:pPr>
    </w:p>
    <w:p w:rsidR="00000000" w:rsidDel="00000000" w:rsidP="00000000" w:rsidRDefault="00000000" w:rsidRPr="00000000" w14:paraId="00000140">
      <w:pPr>
        <w:ind w:firstLine="720"/>
        <w:rPr>
          <w:rFonts w:ascii="Times New Roman" w:cs="Times New Roman" w:eastAsia="Times New Roman" w:hAnsi="Times New Roman"/>
          <w:sz w:val="24"/>
          <w:szCs w:val="24"/>
        </w:rPr>
      </w:pPr>
    </w:p>
    <w:p w:rsidR="00000000" w:rsidDel="00000000" w:rsidP="00000000" w:rsidRDefault="00000000" w:rsidRPr="00000000" w14:paraId="00000141">
      <w:pPr>
        <w:rPr>
          <w:rFonts w:ascii="Times New Roman" w:cs="Times New Roman" w:eastAsia="Times New Roman" w:hAnsi="Times New Roman"/>
          <w:sz w:val="24"/>
          <w:szCs w:val="24"/>
        </w:rPr>
      </w:pPr>
    </w:p>
    <w:p w:rsidR="00000000" w:rsidDel="00000000" w:rsidP="00000000" w:rsidRDefault="00000000" w:rsidRPr="00000000" w14:paraId="00000142">
      <w:pPr>
        <w:ind w:firstLine="720"/>
        <w:rPr>
          <w:rFonts w:ascii="Times New Roman" w:cs="Times New Roman" w:eastAsia="Times New Roman" w:hAnsi="Times New Roman"/>
          <w:sz w:val="24"/>
          <w:szCs w:val="24"/>
        </w:rPr>
      </w:pPr>
    </w:p>
    <w:p w:rsidR="00000000" w:rsidDel="00000000" w:rsidP="00000000" w:rsidRDefault="00000000" w:rsidRPr="00000000" w14:paraId="00000143">
      <w:pPr>
        <w:ind w:firstLine="720"/>
        <w:rPr>
          <w:rFonts w:ascii="Times New Roman" w:cs="Times New Roman" w:eastAsia="Times New Roman" w:hAnsi="Times New Roman"/>
          <w:sz w:val="24"/>
          <w:szCs w:val="24"/>
        </w:rPr>
      </w:pPr>
    </w:p>
    <w:p w:rsidR="00000000" w:rsidDel="00000000" w:rsidP="00000000" w:rsidRDefault="00000000" w:rsidRPr="00000000" w14:paraId="00000144">
      <w:pPr>
        <w:rPr>
          <w:rFonts w:ascii="Times New Roman" w:cs="Times New Roman" w:eastAsia="Times New Roman" w:hAnsi="Times New Roman"/>
          <w:sz w:val="24"/>
          <w:szCs w:val="24"/>
        </w:rPr>
      </w:pPr>
    </w:p>
    <w:p w:rsidR="00000000" w:rsidDel="00000000" w:rsidP="00000000" w:rsidRDefault="00000000" w:rsidRPr="00000000" w14:paraId="00000145">
      <w:pPr>
        <w:ind w:firstLine="720"/>
        <w:rPr>
          <w:rFonts w:ascii="Times New Roman" w:cs="Times New Roman" w:eastAsia="Times New Roman" w:hAnsi="Times New Roman"/>
          <w:sz w:val="24"/>
          <w:szCs w:val="24"/>
        </w:rPr>
      </w:pPr>
    </w:p>
    <w:p w:rsidR="00000000" w:rsidDel="00000000" w:rsidP="00000000" w:rsidRDefault="00000000" w:rsidRPr="00000000" w14:paraId="00000146">
      <w:pPr>
        <w:rPr>
          <w:rFonts w:ascii="Times New Roman" w:cs="Times New Roman" w:eastAsia="Times New Roman" w:hAnsi="Times New Roman"/>
          <w:sz w:val="24"/>
          <w:szCs w:val="24"/>
        </w:rPr>
      </w:pPr>
    </w:p>
    <w:p w:rsidR="00000000" w:rsidDel="00000000" w:rsidP="00000000" w:rsidRDefault="00000000" w:rsidRPr="00000000" w14:paraId="00000147">
      <w:pPr>
        <w:ind w:firstLine="720"/>
        <w:rPr>
          <w:rFonts w:ascii="Times New Roman" w:cs="Times New Roman" w:eastAsia="Times New Roman" w:hAnsi="Times New Roman"/>
          <w:sz w:val="24"/>
          <w:szCs w:val="24"/>
        </w:rPr>
      </w:pPr>
    </w:p>
    <w:p w:rsidR="00000000" w:rsidDel="00000000" w:rsidP="00000000" w:rsidRDefault="00000000" w:rsidRPr="00000000" w14:paraId="00000148">
      <w:pPr>
        <w:rPr>
          <w:rFonts w:ascii="Times New Roman" w:cs="Times New Roman" w:eastAsia="Times New Roman" w:hAnsi="Times New Roman"/>
          <w:sz w:val="24"/>
          <w:szCs w:val="24"/>
        </w:rPr>
      </w:pPr>
    </w:p>
    <w:p w:rsidR="00000000" w:rsidDel="00000000" w:rsidP="00000000" w:rsidRDefault="00000000" w:rsidRPr="00000000" w14:paraId="00000149">
      <w:pPr>
        <w:ind w:firstLine="720"/>
        <w:rPr>
          <w:rFonts w:ascii="Times New Roman" w:cs="Times New Roman" w:eastAsia="Times New Roman" w:hAnsi="Times New Roman"/>
          <w:sz w:val="24"/>
          <w:szCs w:val="24"/>
        </w:rPr>
      </w:pPr>
    </w:p>
    <w:p w:rsidR="00000000" w:rsidDel="00000000" w:rsidP="00000000" w:rsidRDefault="00000000" w:rsidRPr="00000000" w14:paraId="0000014A">
      <w:pPr>
        <w:rPr>
          <w:rFonts w:ascii="Times New Roman" w:cs="Times New Roman" w:eastAsia="Times New Roman" w:hAnsi="Times New Roman"/>
          <w:sz w:val="24"/>
          <w:szCs w:val="24"/>
        </w:rPr>
      </w:pPr>
    </w:p>
    <w:p w:rsidR="00000000" w:rsidDel="00000000" w:rsidP="00000000" w:rsidRDefault="00000000" w:rsidRPr="00000000" w14:paraId="0000014B">
      <w:pPr>
        <w:ind w:firstLine="720"/>
        <w:rPr>
          <w:rFonts w:ascii="Times New Roman" w:cs="Times New Roman" w:eastAsia="Times New Roman" w:hAnsi="Times New Roman"/>
          <w:sz w:val="24"/>
          <w:szCs w:val="24"/>
        </w:rPr>
      </w:pPr>
    </w:p>
    <w:p w:rsidR="00000000" w:rsidDel="00000000" w:rsidP="00000000" w:rsidRDefault="00000000" w:rsidRPr="00000000" w14:paraId="0000014C">
      <w:pPr>
        <w:rPr>
          <w:rFonts w:ascii="Times New Roman" w:cs="Times New Roman" w:eastAsia="Times New Roman" w:hAnsi="Times New Roman"/>
          <w:sz w:val="24"/>
          <w:szCs w:val="24"/>
        </w:rPr>
      </w:pPr>
    </w:p>
    <w:p w:rsidR="00000000" w:rsidDel="00000000" w:rsidP="00000000" w:rsidRDefault="00000000" w:rsidRPr="00000000" w14:paraId="0000014D">
      <w:pPr>
        <w:ind w:firstLine="720"/>
        <w:rPr>
          <w:rFonts w:ascii="Times New Roman" w:cs="Times New Roman" w:eastAsia="Times New Roman" w:hAnsi="Times New Roman"/>
          <w:sz w:val="24"/>
          <w:szCs w:val="24"/>
        </w:rPr>
      </w:pPr>
    </w:p>
    <w:p w:rsidR="00000000" w:rsidDel="00000000" w:rsidP="00000000" w:rsidRDefault="00000000" w:rsidRPr="00000000" w14:paraId="0000014E">
      <w:pPr>
        <w:ind w:left="720" w:firstLine="0"/>
        <w:rPr>
          <w:rFonts w:ascii="Times New Roman" w:cs="Times New Roman" w:eastAsia="Times New Roman" w:hAnsi="Times New Roman"/>
          <w:sz w:val="24"/>
          <w:szCs w:val="24"/>
        </w:rPr>
      </w:pPr>
    </w:p>
    <w:p w:rsidR="00000000" w:rsidDel="00000000" w:rsidP="00000000" w:rsidRDefault="00000000" w:rsidRPr="00000000" w14:paraId="0000014F">
      <w:pPr>
        <w:rPr>
          <w:rFonts w:ascii="Times New Roman" w:cs="Times New Roman" w:eastAsia="Times New Roman" w:hAnsi="Times New Roman"/>
          <w:sz w:val="24"/>
          <w:szCs w:val="24"/>
        </w:rPr>
      </w:pPr>
    </w:p>
    <w:p w:rsidR="00000000" w:rsidDel="00000000" w:rsidP="00000000" w:rsidRDefault="00000000" w:rsidRPr="00000000" w14:paraId="00000150">
      <w:pPr>
        <w:ind w:firstLine="720"/>
        <w:rPr>
          <w:rFonts w:ascii="Times New Roman" w:cs="Times New Roman" w:eastAsia="Times New Roman" w:hAnsi="Times New Roman"/>
          <w:sz w:val="24"/>
          <w:szCs w:val="24"/>
        </w:rPr>
      </w:pPr>
    </w:p>
    <w:p w:rsidR="00000000" w:rsidDel="00000000" w:rsidP="00000000" w:rsidRDefault="00000000" w:rsidRPr="00000000" w14:paraId="00000151">
      <w:pPr>
        <w:rPr>
          <w:rFonts w:ascii="Times New Roman" w:cs="Times New Roman" w:eastAsia="Times New Roman" w:hAnsi="Times New Roman"/>
          <w:sz w:val="24"/>
          <w:szCs w:val="24"/>
        </w:rPr>
      </w:pPr>
    </w:p>
    <w:p w:rsidR="00000000" w:rsidDel="00000000" w:rsidP="00000000" w:rsidRDefault="00000000" w:rsidRPr="00000000" w14:paraId="00000152">
      <w:pPr>
        <w:ind w:firstLine="720"/>
        <w:rPr>
          <w:rFonts w:ascii="Times New Roman" w:cs="Times New Roman" w:eastAsia="Times New Roman" w:hAnsi="Times New Roman"/>
          <w:sz w:val="24"/>
          <w:szCs w:val="24"/>
        </w:rPr>
      </w:pPr>
    </w:p>
    <w:p w:rsidR="00000000" w:rsidDel="00000000" w:rsidP="00000000" w:rsidRDefault="00000000" w:rsidRPr="00000000" w14:paraId="00000153">
      <w:pPr>
        <w:rPr>
          <w:rFonts w:ascii="Times New Roman" w:cs="Times New Roman" w:eastAsia="Times New Roman" w:hAnsi="Times New Roman"/>
          <w:sz w:val="24"/>
          <w:szCs w:val="24"/>
        </w:rPr>
      </w:pPr>
    </w:p>
    <w:p w:rsidR="00000000" w:rsidDel="00000000" w:rsidP="00000000" w:rsidRDefault="00000000" w:rsidRPr="00000000" w14:paraId="00000154">
      <w:pPr>
        <w:ind w:firstLine="720"/>
        <w:rPr>
          <w:rFonts w:ascii="Times New Roman" w:cs="Times New Roman" w:eastAsia="Times New Roman" w:hAnsi="Times New Roman"/>
          <w:sz w:val="24"/>
          <w:szCs w:val="24"/>
        </w:rPr>
      </w:pPr>
    </w:p>
    <w:p w:rsidR="00000000" w:rsidDel="00000000" w:rsidP="00000000" w:rsidRDefault="00000000" w:rsidRPr="00000000" w14:paraId="00000155">
      <w:pPr>
        <w:ind w:firstLine="720"/>
        <w:rPr>
          <w:rFonts w:ascii="Times New Roman" w:cs="Times New Roman" w:eastAsia="Times New Roman" w:hAnsi="Times New Roman"/>
          <w:sz w:val="24"/>
          <w:szCs w:val="24"/>
        </w:rPr>
      </w:pPr>
    </w:p>
    <w:p w:rsidR="00000000" w:rsidDel="00000000" w:rsidP="00000000" w:rsidRDefault="00000000" w:rsidRPr="00000000" w14:paraId="00000156">
      <w:pPr>
        <w:rPr>
          <w:rFonts w:ascii="Times New Roman" w:cs="Times New Roman" w:eastAsia="Times New Roman" w:hAnsi="Times New Roman"/>
          <w:sz w:val="24"/>
          <w:szCs w:val="24"/>
        </w:rPr>
      </w:pPr>
    </w:p>
    <w:p w:rsidR="00000000" w:rsidDel="00000000" w:rsidP="00000000" w:rsidRDefault="00000000" w:rsidRPr="00000000" w14:paraId="00000157">
      <w:pPr>
        <w:ind w:firstLine="720"/>
        <w:rPr>
          <w:rFonts w:ascii="Times New Roman" w:cs="Times New Roman" w:eastAsia="Times New Roman" w:hAnsi="Times New Roman"/>
          <w:sz w:val="24"/>
          <w:szCs w:val="24"/>
        </w:rPr>
      </w:pPr>
    </w:p>
    <w:p w:rsidR="00000000" w:rsidDel="00000000" w:rsidP="00000000" w:rsidRDefault="00000000" w:rsidRPr="00000000" w14:paraId="00000158">
      <w:pPr>
        <w:rPr>
          <w:rFonts w:ascii="Times New Roman" w:cs="Times New Roman" w:eastAsia="Times New Roman" w:hAnsi="Times New Roman"/>
          <w:sz w:val="24"/>
          <w:szCs w:val="24"/>
        </w:rPr>
      </w:pPr>
    </w:p>
    <w:p w:rsidR="00000000" w:rsidDel="00000000" w:rsidP="00000000" w:rsidRDefault="00000000" w:rsidRPr="00000000" w14:paraId="00000159">
      <w:pPr>
        <w:ind w:firstLine="720"/>
        <w:rPr>
          <w:rFonts w:ascii="Times New Roman" w:cs="Times New Roman" w:eastAsia="Times New Roman" w:hAnsi="Times New Roman"/>
          <w:sz w:val="24"/>
          <w:szCs w:val="24"/>
        </w:rPr>
      </w:pPr>
    </w:p>
    <w:sectPr>
      <w:footerReference r:id="rId1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A">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doi.org/10.2307/2325486" TargetMode="External"/><Relationship Id="rId10" Type="http://schemas.openxmlformats.org/officeDocument/2006/relationships/hyperlink" Target="https://doi.org/10.1016/0304-405X(85)90042-X" TargetMode="External"/><Relationship Id="rId13" Type="http://schemas.openxmlformats.org/officeDocument/2006/relationships/hyperlink" Target="https://doi.org/10.1162/isec_a_00351" TargetMode="External"/><Relationship Id="rId12" Type="http://schemas.openxmlformats.org/officeDocument/2006/relationships/hyperlink" Target="https://doi.org/10.2307/2525569"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hyperlink" Target="https://doi.org/10.1073/pnas.1708274114" TargetMode="External"/><Relationship Id="rId14" Type="http://schemas.openxmlformats.org/officeDocument/2006/relationships/hyperlink" Target="https://doi.org/10.1016/B978-0-444-53265-7.50015-9" TargetMode="External"/><Relationship Id="rId17" Type="http://schemas.openxmlformats.org/officeDocument/2006/relationships/footer" Target="footer1.xml"/><Relationship Id="rId16" Type="http://schemas.openxmlformats.org/officeDocument/2006/relationships/hyperlink" Target="https://doi.org/10.1177/0956797611417632"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