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Risk to Opportunity: Strategic Importance Premiums in Geopolitical Market Shocks. How Markets Price Economic Opportunity Under Geopolitical Competition?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markets learn to identify geopolitical opportunity from repeated strategic shocks?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3"/>
        <w:spacing w:after="0" w:before="0" w:lineRule="auto"/>
        <w:rPr>
          <w:rFonts w:ascii="Times New Roman" w:cs="Times New Roman" w:eastAsia="Times New Roman" w:hAnsi="Times New Roman"/>
          <w:color w:val="000000"/>
          <w:sz w:val="24"/>
          <w:szCs w:val="24"/>
        </w:rPr>
      </w:pPr>
      <w:bookmarkStart w:colFirst="0" w:colLast="0" w:name="_2m5i21imvxcs" w:id="0"/>
      <w:bookmarkEnd w:id="0"/>
      <w:r w:rsidDel="00000000" w:rsidR="00000000" w:rsidRPr="00000000">
        <w:rPr>
          <w:rtl w:val="0"/>
        </w:rPr>
      </w:r>
    </w:p>
    <w:p w:rsidR="00000000" w:rsidDel="00000000" w:rsidP="00000000" w:rsidRDefault="00000000" w:rsidRPr="00000000" w14:paraId="00000017">
      <w:pPr>
        <w:pStyle w:val="Heading3"/>
        <w:spacing w:after="0" w:before="0" w:lineRule="auto"/>
        <w:rPr>
          <w:rFonts w:ascii="Times New Roman" w:cs="Times New Roman" w:eastAsia="Times New Roman" w:hAnsi="Times New Roman"/>
          <w:color w:val="000000"/>
          <w:sz w:val="24"/>
          <w:szCs w:val="24"/>
        </w:rPr>
      </w:pPr>
      <w:bookmarkStart w:colFirst="0" w:colLast="0" w:name="_6sg4y27ch48y" w:id="1"/>
      <w:bookmarkEnd w:id="1"/>
      <w:r w:rsidDel="00000000" w:rsidR="00000000" w:rsidRPr="00000000">
        <w:rPr>
          <w:rtl w:val="0"/>
        </w:rPr>
      </w:r>
    </w:p>
    <w:p w:rsidR="00000000" w:rsidDel="00000000" w:rsidP="00000000" w:rsidRDefault="00000000" w:rsidRPr="00000000" w14:paraId="00000018">
      <w:pPr>
        <w:pStyle w:val="Heading3"/>
        <w:spacing w:after="0" w:before="0" w:lineRule="auto"/>
        <w:rPr>
          <w:rFonts w:ascii="Times New Roman" w:cs="Times New Roman" w:eastAsia="Times New Roman" w:hAnsi="Times New Roman"/>
          <w:color w:val="000000"/>
          <w:sz w:val="24"/>
          <w:szCs w:val="24"/>
        </w:rPr>
      </w:pPr>
      <w:bookmarkStart w:colFirst="0" w:colLast="0" w:name="_6did5shhfrhh" w:id="2"/>
      <w:bookmarkEnd w:id="2"/>
      <w:r w:rsidDel="00000000" w:rsidR="00000000" w:rsidRPr="00000000">
        <w:rPr>
          <w:rtl w:val="0"/>
        </w:rPr>
      </w:r>
    </w:p>
    <w:p w:rsidR="00000000" w:rsidDel="00000000" w:rsidP="00000000" w:rsidRDefault="00000000" w:rsidRPr="00000000" w14:paraId="00000019">
      <w:pPr>
        <w:pStyle w:val="Heading3"/>
        <w:spacing w:after="0" w:before="0" w:lineRule="auto"/>
        <w:rPr>
          <w:rFonts w:ascii="Times New Roman" w:cs="Times New Roman" w:eastAsia="Times New Roman" w:hAnsi="Times New Roman"/>
          <w:color w:val="000000"/>
          <w:sz w:val="24"/>
          <w:szCs w:val="24"/>
        </w:rPr>
      </w:pPr>
      <w:bookmarkStart w:colFirst="0" w:colLast="0" w:name="_s1khwrvnukl6" w:id="3"/>
      <w:bookmarkEnd w:id="3"/>
      <w:r w:rsidDel="00000000" w:rsidR="00000000" w:rsidRPr="00000000">
        <w:rPr>
          <w:rtl w:val="0"/>
        </w:rPr>
      </w:r>
    </w:p>
    <w:p w:rsidR="00000000" w:rsidDel="00000000" w:rsidP="00000000" w:rsidRDefault="00000000" w:rsidRPr="00000000" w14:paraId="0000001A">
      <w:pPr>
        <w:pStyle w:val="Heading3"/>
        <w:spacing w:after="0" w:before="0" w:lineRule="auto"/>
        <w:rPr>
          <w:rFonts w:ascii="Times New Roman" w:cs="Times New Roman" w:eastAsia="Times New Roman" w:hAnsi="Times New Roman"/>
          <w:color w:val="000000"/>
          <w:sz w:val="24"/>
          <w:szCs w:val="24"/>
        </w:rPr>
      </w:pPr>
      <w:bookmarkStart w:colFirst="0" w:colLast="0" w:name="_4d8fb7kcpwty" w:id="4"/>
      <w:bookmarkEnd w:id="4"/>
      <w:r w:rsidDel="00000000" w:rsidR="00000000" w:rsidRPr="00000000">
        <w:rPr>
          <w:rtl w:val="0"/>
        </w:rPr>
      </w:r>
    </w:p>
    <w:p w:rsidR="00000000" w:rsidDel="00000000" w:rsidP="00000000" w:rsidRDefault="00000000" w:rsidRPr="00000000" w14:paraId="0000001B">
      <w:pPr>
        <w:pStyle w:val="Heading3"/>
        <w:spacing w:after="0" w:before="0" w:lineRule="auto"/>
        <w:rPr>
          <w:rFonts w:ascii="Times New Roman" w:cs="Times New Roman" w:eastAsia="Times New Roman" w:hAnsi="Times New Roman"/>
          <w:color w:val="000000"/>
          <w:sz w:val="24"/>
          <w:szCs w:val="24"/>
        </w:rPr>
      </w:pPr>
      <w:bookmarkStart w:colFirst="0" w:colLast="0" w:name="_cq2y0d84spbc" w:id="5"/>
      <w:bookmarkEnd w:id="5"/>
      <w:r w:rsidDel="00000000" w:rsidR="00000000" w:rsidRPr="00000000">
        <w:rPr>
          <w:rtl w:val="0"/>
        </w:rPr>
      </w:r>
    </w:p>
    <w:p w:rsidR="00000000" w:rsidDel="00000000" w:rsidP="00000000" w:rsidRDefault="00000000" w:rsidRPr="00000000" w14:paraId="0000001C">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Mi-Qin (Tina) Chen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spacing w:after="0" w:before="0" w:lineRule="auto"/>
        <w:rPr>
          <w:rFonts w:ascii="Times New Roman" w:cs="Times New Roman" w:eastAsia="Times New Roman" w:hAnsi="Times New Roman"/>
          <w:color w:val="000000"/>
          <w:sz w:val="24"/>
          <w:szCs w:val="24"/>
        </w:rPr>
      </w:pPr>
      <w:bookmarkStart w:colFirst="0" w:colLast="0" w:name="_18ek8lhnfml8" w:id="6"/>
      <w:bookmarkEnd w:id="6"/>
      <w:r w:rsidDel="00000000" w:rsidR="00000000" w:rsidRPr="00000000">
        <w:rPr>
          <w:rtl w:val="0"/>
        </w:rPr>
      </w:r>
    </w:p>
    <w:p w:rsidR="00000000" w:rsidDel="00000000" w:rsidP="00000000" w:rsidRDefault="00000000" w:rsidRPr="00000000" w14:paraId="00000023">
      <w:pPr>
        <w:pStyle w:val="Heading3"/>
        <w:spacing w:after="0" w:before="0" w:lineRule="auto"/>
        <w:rPr>
          <w:rFonts w:ascii="Times New Roman" w:cs="Times New Roman" w:eastAsia="Times New Roman" w:hAnsi="Times New Roman"/>
          <w:color w:val="000000"/>
          <w:sz w:val="24"/>
          <w:szCs w:val="24"/>
        </w:rPr>
      </w:pPr>
      <w:bookmarkStart w:colFirst="0" w:colLast="0" w:name="_r9dytfuawknw" w:id="7"/>
      <w:bookmarkEnd w:id="7"/>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spacing w:after="0" w:before="200" w:lineRule="auto"/>
        <w:rPr>
          <w:rFonts w:ascii="Times New Roman" w:cs="Times New Roman" w:eastAsia="Times New Roman" w:hAnsi="Times New Roman"/>
          <w:color w:val="000000"/>
          <w:sz w:val="24"/>
          <w:szCs w:val="24"/>
        </w:rPr>
      </w:pPr>
      <w:bookmarkStart w:colFirst="0" w:colLast="0" w:name="_f0oiym6gg86f" w:id="8"/>
      <w:bookmarkEnd w:id="8"/>
      <w:r w:rsidDel="00000000" w:rsidR="00000000" w:rsidRPr="00000000">
        <w:rPr>
          <w:rtl w:val="0"/>
        </w:rPr>
      </w:r>
    </w:p>
    <w:p w:rsidR="00000000" w:rsidDel="00000000" w:rsidP="00000000" w:rsidRDefault="00000000" w:rsidRPr="00000000" w14:paraId="00000026">
      <w:pPr>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pStyle w:val="Heading3"/>
        <w:spacing w:after="0" w:before="200" w:lineRule="auto"/>
        <w:rPr/>
      </w:pPr>
      <w:bookmarkStart w:colFirst="0" w:colLast="0" w:name="_3ljyjrepsgrb" w:id="9"/>
      <w:bookmarkEnd w:id="9"/>
      <w:r w:rsidDel="00000000" w:rsidR="00000000" w:rsidRPr="00000000">
        <w:rPr>
          <w:rFonts w:ascii="Times New Roman" w:cs="Times New Roman" w:eastAsia="Times New Roman" w:hAnsi="Times New Roman"/>
          <w:color w:val="000000"/>
          <w:sz w:val="24"/>
          <w:szCs w:val="24"/>
          <w:rtl w:val="0"/>
        </w:rPr>
        <w:t xml:space="preserve">Chapter 1. Introduction Skeleton</w:t>
      </w:r>
      <w:r w:rsidDel="00000000" w:rsidR="00000000" w:rsidRPr="00000000">
        <w:rPr>
          <w:rtl w:val="0"/>
        </w:rPr>
      </w:r>
    </w:p>
    <w:p w:rsidR="00000000" w:rsidDel="00000000" w:rsidP="00000000" w:rsidRDefault="00000000" w:rsidRPr="00000000" w14:paraId="0000002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Geopolitical competition is usually understood as a source of risk for financial markets. Rivalry among states can disrupt trade, restrict access to technology, raise uncertainty, increase compliance costs, and expose firms to sanctions, retaliation, or supply-chain shocks. In this conventional view, the expected market pathway is straightforward: geopolitical competition increases risk, and risk produces negative market reactions. Much of the existing literature on geopolitical risk, sanctions, export controls, and political uncertainty begins from this assumption. The assumption is often correct. Wars, diplomatic crises, trade restrictions, and coercive economic policies can destroy value and raise risk premia.</w:t>
      </w:r>
    </w:p>
    <w:p w:rsidR="00000000" w:rsidDel="00000000" w:rsidP="00000000" w:rsidRDefault="00000000" w:rsidRPr="00000000" w14:paraId="0000002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recent episodes of strategic industrial policy suggest that this risk-centered view is incomplete. The same geopolitical competition that threatens some firms may increase the strategic value of others. When governments identify particular firms, sectors, or technologies as essential to national security, technological leadership, or supply-chain resilience, they may respond with subsidies, tax credits, procurement commitments, financing, regulatory protection, or direct industrial-policy support. In those cases, financial markets may not interpret geopolitical competition only as danger. They may also interpret it as a signal that selected strategic firms are likely to receive state-backed support. The central puzzle of this dissertation is therefore not whether geopolitical competition creates risk. It clearly does. The puzzle is why some firms may experience positive market reactions when geopolitical competition is translated into credible state support.</w:t>
      </w:r>
    </w:p>
    <w:p w:rsidR="00000000" w:rsidDel="00000000" w:rsidP="00000000" w:rsidRDefault="00000000" w:rsidRPr="00000000" w14:paraId="0000002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dissertation asks: </w:t>
      </w:r>
      <w:r w:rsidDel="00000000" w:rsidR="00000000" w:rsidRPr="00000000">
        <w:rPr>
          <w:rFonts w:ascii="Times New Roman" w:cs="Times New Roman" w:eastAsia="Times New Roman" w:hAnsi="Times New Roman"/>
          <w:b w:val="1"/>
          <w:bCs w:val="1"/>
          <w:sz w:val="24"/>
          <w:szCs w:val="24"/>
          <w:rtl w:val="0"/>
        </w:rPr>
        <w:t xml:space="preserve">When does geopolitical competition generate positive market reactions for strategically important firms through expected state support?</w:t>
      </w:r>
      <w:r w:rsidDel="00000000" w:rsidR="00000000" w:rsidRPr="00000000">
        <w:rPr>
          <w:rFonts w:ascii="Times New Roman" w:cs="Times New Roman" w:eastAsia="Times New Roman" w:hAnsi="Times New Roman"/>
          <w:sz w:val="24"/>
          <w:szCs w:val="24"/>
          <w:rtl w:val="0"/>
        </w:rPr>
        <w:t xml:space="preserve"> The question shifts attention from aggregate geopolitical risk to firm-level investor interpretation. Rather than asking whether geopolitical competition is good or bad for markets in general, the dissertation asks when investors distinguish between threat exposure and state-backed opportunity. This distinction matters because geopolitical competition can produce heterogeneous market effects. A restriction may harm directly exposed firms while benefiting substitutes. A strategic subsidy may signal future cash flows for a named beneficiary while doing little for the broader market. A policy event may therefore contain both a threat signal and an opportunity signal. </w:t>
      </w:r>
    </w:p>
    <w:p w:rsidR="00000000" w:rsidDel="00000000" w:rsidP="00000000" w:rsidRDefault="00000000" w:rsidRPr="00000000" w14:paraId="0000002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builds on, but also departs from, several bodies of literature. The geopolitical risk literature explains how conflict, uncertainty, and political shocks affect financial markets, but it tends to emphasise downside risk. The economic statecraft and geoeconomics literature show how states use market instruments for strategic purposes, but they often focus on state behaviour, coercion, or target costs rather than investor interpretation. The industrial-policy literature explains why governments support strategic sectors, but it is usually more concerned with policy design, welfare, rents, or long-run competitiveness than short-window market reactions. Finally, the event-study literature offers tools for measuring market responses to policy announcements, but it often treats geopolitical events as risk shocks rather than mixed signals. The gap this dissertation addresses lies at the intersection of these literatures: how markets price credible state support for strategically important firms under geopolitical competition.</w:t>
      </w:r>
    </w:p>
    <w:p w:rsidR="00000000" w:rsidDel="00000000" w:rsidP="00000000" w:rsidRDefault="00000000" w:rsidRPr="00000000" w14:paraId="0000002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argument is that geopolitical competition can generate positive market reactions when it increases the strategic importance of particular firms or sectors and when that strategic importance is converted into credible state support. Strategic importance alone is not sufficient. A firm can be strategically important and still face export restrictions, lost market access, political interference, or costly compliance burdens. The key mechanism is state support. When governments provide or credibly signal subsidies, loans, tax credits, procurement, protection, or capacity support, investors may update expectations about future cash flows or downside risk. Positive market reactions should therefore be most likely when support is direct, credible, material, and linked to identifiable beneficiaries.</w:t>
      </w:r>
    </w:p>
    <w:p w:rsidR="00000000" w:rsidDel="00000000" w:rsidP="00000000" w:rsidRDefault="00000000" w:rsidRPr="00000000" w14:paraId="0000002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tests this argument through a focused event-study design. The empirical setting is semiconductor industrial policy, especially direct named support announcements under the CHIPS Act. Semiconductors are a strong setting for the test because they are central to contemporary geopolitical competition, widely recognised as strategically important, and represented by publicly traded firms and sector benchmarks. The main empirical analysis focuses on three frozen core events: Intel’s CHIPS Act preliminary terms announcement, TSMC Arizona’s CHIPS Act preliminary terms announcement, and Micron’s CHIPS Act preliminary agreement. The primary outcome is sector-adjusted cumulative abnormal return over the [-1,+1] event window, using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The design compares named beneficiaries against semiconductor-sector benchmarks, with broader market and technology benchmarks used as secondary comparisons.</w:t>
      </w:r>
    </w:p>
    <w:p w:rsidR="00000000" w:rsidDel="00000000" w:rsidP="00000000" w:rsidRDefault="00000000" w:rsidRPr="00000000" w14:paraId="0000002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empirical strategy is intentionally modest. It does not claim to estimate the full causal effect of geopolitical competition. Nor does it claim that state support always increases firm value. Instead, it tests a pre-specified implication of the theory: if credible state support is the mechanism through which geopolitical competition becomes market opportunity, then named beneficiaries of direct strategic support should show positive short-window reactions relative to the semiconductor sector. A positive reaction only relative to the broad market, but not relative to the semiconductor benchmark, would be weak evidence. A negative sector-adjusted reaction would weaken the theory for the main sample.</w:t>
      </w:r>
    </w:p>
    <w:p w:rsidR="00000000" w:rsidDel="00000000" w:rsidP="00000000" w:rsidRDefault="00000000" w:rsidRPr="00000000" w14:paraId="0000002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contributes to the political economy in three ways. First, it refines the study of geopolitical risk by distinguishing aggregate risk from firm-level opportunity under state support. Second, it connects geoeconomics and industrial policy to financial-market interpretation, showing how strategic policy announcements may be priced by investors. Third, it offers a transparent research design for studying mixed geopolitical signals without treating all geopolitical competition as uniformly negative or positive. The contribution is theoretical and empirical, but deliberately bounded: the dissertation develops and tests a mechanism, not a general law of geopolitical markets.</w:t>
      </w:r>
    </w:p>
    <w:p w:rsidR="00000000" w:rsidDel="00000000" w:rsidP="00000000" w:rsidRDefault="00000000" w:rsidRPr="00000000" w14:paraId="0000003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conditions are central to the argument. The theory should apply most strongly in strategic industries where governments have clear security, resilience, or technological-leadership concerns and where state support is credible and market-relevant. Semiconductors are therefore an appropriate first test. The argument may also travel to defense production, energy security, AI infrastructure, critical minerals, telecommunications, and supply-chain chokepoints. It should not be expected to apply to broad market indices during major crises, firms that receive no credible support, symbolic policy statements, fully anticipated announcements, or cases where support imposes costs that outweigh benefits.</w:t>
      </w:r>
    </w:p>
    <w:p w:rsidR="00000000" w:rsidDel="00000000" w:rsidP="00000000" w:rsidRDefault="00000000" w:rsidRPr="00000000" w14:paraId="0000003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remainder of the dissertation proceeds as follows. Chapter 2 reviews the relevant literature on geopolitical risk, economic statecraft, geoeconomics, industrial policy, financial-market reactions, and investor interpretation. Chapter 3 develops the theory of state-backed opportunity under geopolitical competition and presents the hypotheses. Chapter 4 explains the research design, event-selection rules, data structure, outcome measures, and identification challenges. Chapter 5 presents the event-study results for the frozen core sample and classifies each event as supportive, weak, null, or theory-weakening evidence. Chapter 6 discusses </w:t>
      </w:r>
      <w:r w:rsidDel="00000000" w:rsidR="00000000" w:rsidRPr="00000000">
        <w:rPr>
          <w:rFonts w:ascii="Times New Roman" w:cs="Times New Roman" w:eastAsia="Times New Roman" w:hAnsi="Times New Roman"/>
          <w:sz w:val="24"/>
          <w:szCs w:val="24"/>
          <w:rtl w:val="0"/>
        </w:rPr>
        <w:t xml:space="preserve">the implications, limitations, and conditions under which the State Support mechanism may travel beyond the semiconductor case.</w:t>
      </w:r>
    </w:p>
    <w:p w:rsidR="00000000" w:rsidDel="00000000" w:rsidP="00000000" w:rsidRDefault="00000000" w:rsidRPr="00000000" w14:paraId="00000032">
      <w:pPr>
        <w:pStyle w:val="Heading3"/>
        <w:spacing w:after="80" w:lineRule="auto"/>
        <w:rPr>
          <w:rFonts w:ascii="Times New Roman" w:cs="Times New Roman" w:eastAsia="Times New Roman" w:hAnsi="Times New Roman"/>
          <w:color w:val="000000"/>
          <w:sz w:val="24"/>
          <w:szCs w:val="24"/>
        </w:rPr>
      </w:pPr>
      <w:bookmarkStart w:colFirst="0" w:colLast="0" w:name="_ysh9c4t35s5q" w:id="10"/>
      <w:bookmarkEnd w:id="10"/>
      <w:r w:rsidDel="00000000" w:rsidR="00000000" w:rsidRPr="00000000">
        <w:rPr>
          <w:rFonts w:ascii="Times New Roman" w:cs="Times New Roman" w:eastAsia="Times New Roman" w:hAnsi="Times New Roman"/>
          <w:color w:val="000000"/>
          <w:sz w:val="24"/>
          <w:szCs w:val="24"/>
          <w:rtl w:val="0"/>
        </w:rPr>
        <w:t xml:space="preserve">Chapter 2. Literature Review Skeleton</w:t>
      </w:r>
    </w:p>
    <w:p w:rsidR="00000000" w:rsidDel="00000000" w:rsidP="00000000" w:rsidRDefault="00000000" w:rsidRPr="00000000" w14:paraId="0000003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should not be read as a catalogue of literature. Its purpose is to show why existing research explains parts of the dissertation’s causal chain, but not the full sequence linking geopolitical competition to positive market reactions through credible state support. The chapter should be organised around the missing link: geopolitical competition -&gt; strategic importance -&gt; state support -&gt; investor interpretation -&gt; market reaction. The central claim of the literature review is that existing scholarship has strong accounts of geopolitical risk, economic statecraft, industrial policy, and market reactions, but these accounts are usually developed separately. The dissertation contributes by connecting them into a focused mechanism: markets may price geopolitical competition positively when strategically important firms become expected recipients of credible state support.</w:t>
      </w:r>
    </w:p>
    <w:p w:rsidR="00000000" w:rsidDel="00000000" w:rsidP="00000000" w:rsidRDefault="00000000" w:rsidRPr="00000000" w14:paraId="00000034">
      <w:pPr>
        <w:pStyle w:val="Heading4"/>
        <w:spacing w:after="0" w:before="280" w:lineRule="auto"/>
        <w:rPr>
          <w:rFonts w:ascii="Times New Roman" w:cs="Times New Roman" w:eastAsia="Times New Roman" w:hAnsi="Times New Roman"/>
          <w:color w:val="000000"/>
        </w:rPr>
      </w:pPr>
      <w:bookmarkStart w:colFirst="0" w:colLast="0" w:name="_skdb68g1n545" w:id="11"/>
      <w:bookmarkEnd w:id="11"/>
      <w:r w:rsidDel="00000000" w:rsidR="00000000" w:rsidRPr="00000000">
        <w:rPr>
          <w:rFonts w:ascii="Times New Roman" w:cs="Times New Roman" w:eastAsia="Times New Roman" w:hAnsi="Times New Roman"/>
          <w:color w:val="000000"/>
          <w:rtl w:val="0"/>
        </w:rPr>
        <w:t xml:space="preserve">2.1 Geopolitical Risk and Financial Markets</w:t>
      </w:r>
    </w:p>
    <w:p w:rsidR="00000000" w:rsidDel="00000000" w:rsidP="00000000" w:rsidRDefault="00000000" w:rsidRPr="00000000" w14:paraId="0000003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starting point for this dissertation is the conventional expectation that geopolitical competition increases risk for financial markets. Geopolitical conflict, strategic rivalry, sanctions, war risk, export controls, and policy uncertainty can all alter investor expectations about future cash flows, discount rates, supply-chain stability, and market access. In this view, geopolitical competition is primarily a source of uncertainty and downside risk.</w:t>
      </w:r>
    </w:p>
    <w:p w:rsidR="00000000" w:rsidDel="00000000" w:rsidP="00000000" w:rsidRDefault="00000000" w:rsidRPr="00000000" w14:paraId="0000003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Caldara and Iacoviello (2022) provide one of the most influential recent measures of geopolitical risk. Their work conceptualizes geopolitical risk as the threat, realization, and escalation of adverse geopolitical events, including war, terrorism, and international tensions. The key implication for financial markets is that geopolitical risk raises uncertainty and can affect investment, asset prices, and macroeconomic expectations. This literature helps establish the baseline expectation against which this dissertation is framed: geopolitical competition is usually expected to harm markets or raise risk premia rather than create opportunity.</w:t>
      </w:r>
    </w:p>
    <w:p w:rsidR="00000000" w:rsidDel="00000000" w:rsidP="00000000" w:rsidRDefault="00000000" w:rsidRPr="00000000" w14:paraId="0000003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Financial-market theory provides the mechanism through which information about geopolitical risk can be reflected in prices. In efficient-market accounts, security prices adjust to new information as investors update expectations about future returns and risks (Fama, 1970; Fama et al., 1969). If geopolitical events increase uncertainty, reduce future revenues, raise costs, or restrict market access, prices should react accordingly. Behavioral finance complicates this account by emphasizing that investor interpretation may be shaped by sentiment, narratives, and departures from strict efficiency (Shiller, 2003). Nevertheless, both efficient-market and behavioral perspectives treat financial-market reactions as informative about how investors interpret new events.</w:t>
      </w:r>
    </w:p>
    <w:p w:rsidR="00000000" w:rsidDel="00000000" w:rsidP="00000000" w:rsidRDefault="00000000" w:rsidRPr="00000000" w14:paraId="0000003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geopolitical risk literature is therefore useful for this dissertation because it establishes the dominant risk pathway: geopolitical competition produces uncertainty, and markets respond to that uncertainty. However, this literature is less developed in explaining cases where geopolitical competition may produce positive market reactions for selected firms. A geopolitical event can harm some actors while benefiting others. Aggregate risk measures may capture broad uncertainty, but they are less suited to explaining cross-sectional differences among firms exposed to the same geopolitical environment.</w:t>
      </w:r>
    </w:p>
    <w:p w:rsidR="00000000" w:rsidDel="00000000" w:rsidP="00000000" w:rsidRDefault="00000000" w:rsidRPr="00000000" w14:paraId="0000003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limitation is central to the dissertation. The project does not reject the geopolitical risk perspective. Instead, it asks when a second pathway may operate alongside it. Geopolitical competition may increase uncertainty in general, but it may also make particular firms or sectors strategically important to governments. If governments respond with credible support, investors may interpret the same geopolitical environment as an opportunity for selected actors. The literature on geopolitical risk explains the negative pathway well, but it does not fully explain how geopolitical competition can become state-backed opportunity for specific firms.</w:t>
      </w:r>
      <w:r w:rsidDel="00000000" w:rsidR="00000000" w:rsidRPr="00000000">
        <w:rPr>
          <w:rtl w:val="0"/>
        </w:rPr>
      </w:r>
    </w:p>
    <w:p w:rsidR="00000000" w:rsidDel="00000000" w:rsidP="00000000" w:rsidRDefault="00000000" w:rsidRPr="00000000" w14:paraId="0000003A">
      <w:pPr>
        <w:pStyle w:val="Heading4"/>
        <w:spacing w:after="0" w:before="280" w:lineRule="auto"/>
        <w:rPr>
          <w:rFonts w:ascii="Times New Roman" w:cs="Times New Roman" w:eastAsia="Times New Roman" w:hAnsi="Times New Roman"/>
          <w:color w:val="000000"/>
        </w:rPr>
      </w:pPr>
      <w:bookmarkStart w:colFirst="0" w:colLast="0" w:name="_1750tb2sqyj1" w:id="12"/>
      <w:bookmarkEnd w:id="12"/>
      <w:r w:rsidDel="00000000" w:rsidR="00000000" w:rsidRPr="00000000">
        <w:rPr>
          <w:rFonts w:ascii="Times New Roman" w:cs="Times New Roman" w:eastAsia="Times New Roman" w:hAnsi="Times New Roman"/>
          <w:color w:val="000000"/>
          <w:rtl w:val="0"/>
        </w:rPr>
        <w:t xml:space="preserve">2.2 Economic Statecraft and Geoeconomics</w:t>
      </w:r>
    </w:p>
    <w:p w:rsidR="00000000" w:rsidDel="00000000" w:rsidP="00000000" w:rsidRDefault="00000000" w:rsidRPr="00000000" w14:paraId="0000003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literature examines the use of economic tools for strategic political purposes. This work shifts attention from markets as passive arenas of risk to markets as instruments of state power. Economic statecraft refers to the use of economic resources, sanctions, trade controls, finance, and market access to pursue political objectives (Baldwin, 1985). Geoeconomics similarly emphasizes the use of economic instruments to achieve geopolitical goals (Blackwill &amp; Harris, 2016; Luttwak, 1990). These literatures are central to understanding why geopolitical competition increasingly appears through market-facing policy instruments.</w:t>
      </w:r>
    </w:p>
    <w:p w:rsidR="00000000" w:rsidDel="00000000" w:rsidP="00000000" w:rsidRDefault="00000000" w:rsidRPr="00000000" w14:paraId="0000003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 work on economic power highlights how trade and interdependence can create vulnerability. Hirschman (1980) argued that patterns of foreign trade can generate political influence because states and firms become dependent on external markets and suppliers. Contemporary work extends this logic to global networks. Farrell and Newman (2019) argue that states occupying central positions in global economic networks can weaponize interdependence by using chokepoints in finance, information, and supply chains. Their later work develops this argument in relation to American power and the global economic infrastructure through which it operates (Farrell &amp; Newman, 2023).</w:t>
      </w:r>
    </w:p>
    <w:p w:rsidR="00000000" w:rsidDel="00000000" w:rsidP="00000000" w:rsidRDefault="00000000" w:rsidRPr="00000000" w14:paraId="0000003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is useful because it demonstrates that geopolitical competition is not limited to military threats or diplomatic conflict. It is increasingly conducted through export controls, sanctions, investment restrictions, industrial policy, technological standards, and supply-chain governance. Economic networks can become strategic terrain, and states can use market structures to pursue geopolitical goals.</w:t>
      </w:r>
    </w:p>
    <w:p w:rsidR="00000000" w:rsidDel="00000000" w:rsidP="00000000" w:rsidRDefault="00000000" w:rsidRPr="00000000" w14:paraId="0000003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economic statecraft and geoeconomics literatures tend to focus on state behavior, coercive capacity, and target vulnerability. They explain how states use economic tools and how interdependence can be weaponized. They are less focused on how investors price the beneficiaries of state action. A sanction, export control, or subsidy may impose costs on some firms while creating opportunities for others. The literature explains why states act, but less often explains how markets distinguish between threatened firms and supported firms.</w:t>
      </w:r>
    </w:p>
    <w:p w:rsidR="00000000" w:rsidDel="00000000" w:rsidP="00000000" w:rsidRDefault="00000000" w:rsidRPr="00000000" w14:paraId="0000003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dissertation builds on the economic statecraft literature by treating state action as central to the market reaction. The relevant empirical events are not generic geopolitical tensions; they are policy actions linked to strategic sectors. The dissertation’s mechanism, however, is narrower than geoeconomics as a whole. It focuses specifically on state support for strategically important firms and asks whether investors interpret that support as valuation-relevant. In doing so, it connects economic statecraft to financial-market reaction.</w:t>
      </w:r>
      <w:r w:rsidDel="00000000" w:rsidR="00000000" w:rsidRPr="00000000">
        <w:rPr>
          <w:rtl w:val="0"/>
        </w:rPr>
      </w:r>
    </w:p>
    <w:p w:rsidR="00000000" w:rsidDel="00000000" w:rsidP="00000000" w:rsidRDefault="00000000" w:rsidRPr="00000000" w14:paraId="00000040">
      <w:pPr>
        <w:pStyle w:val="Heading4"/>
        <w:spacing w:after="0" w:before="280" w:lineRule="auto"/>
        <w:rPr>
          <w:rFonts w:ascii="Times New Roman" w:cs="Times New Roman" w:eastAsia="Times New Roman" w:hAnsi="Times New Roman"/>
          <w:color w:val="000000"/>
        </w:rPr>
      </w:pPr>
      <w:bookmarkStart w:colFirst="0" w:colLast="0" w:name="_q0nenbxn15xj" w:id="13"/>
      <w:bookmarkEnd w:id="13"/>
      <w:r w:rsidDel="00000000" w:rsidR="00000000" w:rsidRPr="00000000">
        <w:rPr>
          <w:rFonts w:ascii="Times New Roman" w:cs="Times New Roman" w:eastAsia="Times New Roman" w:hAnsi="Times New Roman"/>
          <w:color w:val="000000"/>
          <w:rtl w:val="0"/>
        </w:rPr>
        <w:t xml:space="preserve">2.3 Strategic Importance and Critical Industries</w:t>
      </w:r>
    </w:p>
    <w:p w:rsidR="00000000" w:rsidDel="00000000" w:rsidP="00000000" w:rsidRDefault="00000000" w:rsidRPr="00000000" w14:paraId="0000004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body of literature concerns strategic industries and the role of the state in shaping technologically important sectors. Developmental state and industrial policy scholarship has long argued that states can identify, promote, and protect sectors viewed as central to national development and competitiveness. Amsden (1989, 2001), Johnson (1982), Wade (1990), and Chang (2002) all challenge purely market-led accounts of industrial transformation by emphasizing the role of state coordination, protection, discipline, and support in late industrialization.</w:t>
      </w:r>
    </w:p>
    <w:p w:rsidR="00000000" w:rsidDel="00000000" w:rsidP="00000000" w:rsidRDefault="00000000" w:rsidRPr="00000000" w14:paraId="0000004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establishes that some sectors are treated differently because they are viewed as strategically important. States may prioritize industries that contribute to technological upgrading, national competitiveness, security, or future productive capacity. Strategic importance can therefore shape policy attention and resource allocation. Gerschenkron (1962) similarly emphasizes the role of institutional and state-led arrangements in late industrialization, particularly where private markets alone may not generate the desired scale or pace of development.</w:t>
      </w:r>
    </w:p>
    <w:p w:rsidR="00000000" w:rsidDel="00000000" w:rsidP="00000000" w:rsidRDefault="00000000" w:rsidRPr="00000000" w14:paraId="0000004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 work on innovation and the national security state extends this argument to advanced technology sectors. Block and Keller (2011) emphasise the U.S. government’s role in technology development, showing that public agencies and state-backed programs have contributed to innovation in ways often underrecognized in market-centered narratives. Weiss (2014) similarly argues that the American state has played a significant role in national-security-linked innovation and enterprise. Mazzucato (2013, 2021) develops a related argument about the entrepreneurial and mission-oriented state, emphasizing that public institutions can shape innovation trajectories and create markets rather than merely correct market failures.</w:t>
      </w:r>
    </w:p>
    <w:p w:rsidR="00000000" w:rsidDel="00000000" w:rsidP="00000000" w:rsidRDefault="00000000" w:rsidRPr="00000000" w14:paraId="0000004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literatures are important for this dissertation because they explain why governments may treat semiconductor firms and related technologies as strategically important. Strategic industries are not simply large industries. They are sectors whose capabilities are tied to security, resilience, technological leadership, and future economic position. In this sense, strategic importance is a political-economic status, not merely a commercial characteristic.</w:t>
      </w:r>
    </w:p>
    <w:p w:rsidR="00000000" w:rsidDel="00000000" w:rsidP="00000000" w:rsidRDefault="00000000" w:rsidRPr="00000000" w14:paraId="0000004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this literature does not by itself explain short-window financial-market reactions. Developmental state and industrial policy scholarship often focuses on long-run structural transformation, technological upgrading, institutional capacity, or national competitiveness. Those outcomes differ from the dissertation’s outcome of interest: immediate investor reaction around policy events. A sector may be strategically important over the long run, but that does not mean a specific announcement will generate a positive abnormal return for a named firm.</w:t>
      </w:r>
    </w:p>
    <w:p w:rsidR="00000000" w:rsidDel="00000000" w:rsidP="00000000" w:rsidRDefault="00000000" w:rsidRPr="00000000" w14:paraId="0000004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limitation motivates the dissertation’s theoretical distinction between Strategic Importance and State Support. Strategic Importance is a scope condition. It identifies where states are likely to intervene. It does not itself produce the market outcome. For market reactions, the question is whether strategic importance is converted into credible state support and whether investors interpret that support as affecting expected cash flows or downside risk.</w:t>
      </w:r>
      <w:r w:rsidDel="00000000" w:rsidR="00000000" w:rsidRPr="00000000">
        <w:rPr>
          <w:rtl w:val="0"/>
        </w:rPr>
      </w:r>
    </w:p>
    <w:p w:rsidR="00000000" w:rsidDel="00000000" w:rsidP="00000000" w:rsidRDefault="00000000" w:rsidRPr="00000000" w14:paraId="00000047">
      <w:pPr>
        <w:pStyle w:val="Heading4"/>
        <w:spacing w:after="0" w:before="280" w:lineRule="auto"/>
        <w:rPr>
          <w:rFonts w:ascii="Times New Roman" w:cs="Times New Roman" w:eastAsia="Times New Roman" w:hAnsi="Times New Roman"/>
          <w:color w:val="000000"/>
        </w:rPr>
      </w:pPr>
      <w:bookmarkStart w:colFirst="0" w:colLast="0" w:name="_m3bb5nrj34h5" w:id="14"/>
      <w:bookmarkEnd w:id="14"/>
      <w:r w:rsidDel="00000000" w:rsidR="00000000" w:rsidRPr="00000000">
        <w:rPr>
          <w:rFonts w:ascii="Times New Roman" w:cs="Times New Roman" w:eastAsia="Times New Roman" w:hAnsi="Times New Roman"/>
          <w:color w:val="000000"/>
          <w:rtl w:val="0"/>
        </w:rPr>
        <w:t xml:space="preserve">2.4 Strategic Trade and Industrial Policy</w:t>
      </w:r>
    </w:p>
    <w:p w:rsidR="00000000" w:rsidDel="00000000" w:rsidP="00000000" w:rsidRDefault="00000000" w:rsidRPr="00000000" w14:paraId="0000004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industrial policy literature provides the closest foundation for the State Support mechanism. Industrial policy involves government efforts to shape sectoral development, investment, technology, and productive capacity. Rodrik (2004) argues that industrial policy should be understood as a process of strategic collaboration between public and private actors, rather than simply as top-down picking winners. This view emphasizes discovery, coordination, and the correction of market failures that inhibit productive transformation.</w:t>
      </w:r>
    </w:p>
    <w:p w:rsidR="00000000" w:rsidDel="00000000" w:rsidP="00000000" w:rsidRDefault="00000000" w:rsidRPr="00000000" w14:paraId="0000004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and comparative scholarship shows that industrial policy has often been central to late development and strategic upgrading. Amsden (1989, 2001), Chang (2002), Johnson (1982), Wade (1990), and Evans (1995) all emphasize different forms of state involvement in industrial transformation. Some accounts focus on discipline and performance requirements; others emphasize embedded autonomy, institutional capacity, or state-business coordination. Together, they challenge the idea that advanced industries emerge only from decentralized market allocation.</w:t>
      </w:r>
    </w:p>
    <w:p w:rsidR="00000000" w:rsidDel="00000000" w:rsidP="00000000" w:rsidRDefault="00000000" w:rsidRPr="00000000" w14:paraId="0000004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state-support literature is particularly relevant for sectors where private investment may be insufficient relative to strategic or social objectives. Semiconductors, defense technologies, critical infrastructure, and advanced manufacturing often require large capital expenditures, long time horizons, and coordination across firms and supply chains. Public support can alter investment incentives through subsidies, loans, procurement, tax credits, guarantees, protection, and capacity commitments. Mazzucato (2013, 2021), Weiss (2014), and Block and Keller (2011) emphasize that public institutions can play an active role in innovation and strategic technology development.</w:t>
      </w:r>
    </w:p>
    <w:p w:rsidR="00000000" w:rsidDel="00000000" w:rsidP="00000000" w:rsidRDefault="00000000" w:rsidRPr="00000000" w14:paraId="0000004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industrial policy literature often evaluates different outcomes from those examined here. It frequently asks whether policy improves productivity, supports technological upgrading, builds national capacity, or succeeds over the long term. This dissertation asks a narrower question: whether investors price state support as market opportunity in the short run. A subsidy may be strategically important and still fail to generate a positive abnormal return. Conversely, a positive market reaction does not prove that the policy is socially efficient or successful over time.</w:t>
      </w:r>
    </w:p>
    <w:p w:rsidR="00000000" w:rsidDel="00000000" w:rsidP="00000000" w:rsidRDefault="00000000" w:rsidRPr="00000000" w14:paraId="0000004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essential. The dissertation does not claim that state support is always beneficial, nor that industrial policy is always effective. It treats state support as a market signal. If support is credible, material, and attached to a visible beneficiary, investors may update expectations about future cash flows, protected demand, capital costs, or downside risk. The industrial policy literature explains why states provide support and why strategic sectors receive attention. The dissertation extends this logic to investor interpretation and financial-market reaction.</w:t>
      </w:r>
      <w:r w:rsidDel="00000000" w:rsidR="00000000" w:rsidRPr="00000000">
        <w:rPr>
          <w:rtl w:val="0"/>
        </w:rPr>
      </w:r>
    </w:p>
    <w:p w:rsidR="00000000" w:rsidDel="00000000" w:rsidP="00000000" w:rsidRDefault="00000000" w:rsidRPr="00000000" w14:paraId="0000004D">
      <w:pPr>
        <w:pStyle w:val="Heading4"/>
        <w:spacing w:after="0" w:before="280" w:lineRule="auto"/>
        <w:rPr>
          <w:rFonts w:ascii="Times New Roman" w:cs="Times New Roman" w:eastAsia="Times New Roman" w:hAnsi="Times New Roman"/>
          <w:color w:val="000000"/>
        </w:rPr>
      </w:pPr>
      <w:bookmarkStart w:colFirst="0" w:colLast="0" w:name="_m78p97jbs8tl" w:id="15"/>
      <w:bookmarkEnd w:id="15"/>
      <w:r w:rsidDel="00000000" w:rsidR="00000000" w:rsidRPr="00000000">
        <w:rPr>
          <w:rFonts w:ascii="Times New Roman" w:cs="Times New Roman" w:eastAsia="Times New Roman" w:hAnsi="Times New Roman"/>
          <w:color w:val="000000"/>
          <w:rtl w:val="0"/>
        </w:rPr>
        <w:t xml:space="preserve">2.5 Financial Market Reactions and Event Studies</w:t>
      </w:r>
    </w:p>
    <w:p w:rsidR="00000000" w:rsidDel="00000000" w:rsidP="00000000" w:rsidRDefault="00000000" w:rsidRPr="00000000" w14:paraId="0000004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dissertation’s empirical design draws on the event-study tradition in finance. Event studies examine how security prices respond to new information around identifiable events. The foundational assumption is that, under sufficiently efficient markets, prices incorporate new information about expected future cash flows and risk (Fama, 1970; Fama et al., 1969). Event studies therefore use short-window abnormal returns to infer how investors interpret an event.</w:t>
      </w:r>
    </w:p>
    <w:p w:rsidR="00000000" w:rsidDel="00000000" w:rsidP="00000000" w:rsidRDefault="00000000" w:rsidRPr="00000000" w14:paraId="0000004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Fama et al. (1969) provide an early demonstration of how stock prices adjust to information, while Fama (1970) systematizes the efficient-market framework. Ball and Brown (1968) similarly show how accounting information is reflected in stock prices. These works support the basic premise that market prices can be used to study information effects. Later methodological work develops event-study tools more explicitly. Brown and Warner (1985) examine the use of daily stock returns in event studies and show that event-study methods can be effective with daily data. MacKinlay (1997) provides a standard overview of event-study methodology, including abnormal returns, event windows, and statistical issues. Campbell et al. (1997) and Kothari and Warner (2007) further situate event studies within financial econometrics and empirical corporate finance.</w:t>
      </w:r>
    </w:p>
    <w:p w:rsidR="00000000" w:rsidDel="00000000" w:rsidP="00000000" w:rsidRDefault="00000000" w:rsidRPr="00000000" w14:paraId="0000005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is central to Chapter 4. The dissertation uses event-study logic to examine whether investors react positively to named state-support announcements. The method is appropriate because the empirical question concerns market expectations around discrete announcements. The relevant outcome is not long-run performance but short-window abnormal return.</w:t>
      </w:r>
    </w:p>
    <w:p w:rsidR="00000000" w:rsidDel="00000000" w:rsidP="00000000" w:rsidRDefault="00000000" w:rsidRPr="00000000" w14:paraId="0000005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event-study literature also clarifies the limits of the design. Event studies are most persuasive when events are discrete, unanticipated, and not contaminated by confounding news. Policy announcements often violate these ideal conditions. They may be anticipated, bundled with other information, or embedded in broader market trends. This is especially important for semiconductor support events during a period of strong sector movement. For this reason, the dissertation uses sector-adjusted returns and treats the results as evidence of market expectations rather than definitive causal estimates.</w:t>
      </w:r>
    </w:p>
    <w:p w:rsidR="00000000" w:rsidDel="00000000" w:rsidP="00000000" w:rsidRDefault="00000000" w:rsidRPr="00000000" w14:paraId="00000052">
      <w:pPr>
        <w:spacing w:after="0" w:before="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Research transparency is also relevant to the event-study design. Gelman and Loken (2014) warn that researcher degrees of freedom can produce misleading results when analysts make flexible choices after seeing data. Nosek et al. (2018) emphasize preregistration as a way to reduce hindsight bias and clarify confirmatory claims. Simmons et al. (2011) similarly show how undisclosed analytic flexibility can generate false-positive findings. The dissertation responds to these concerns through frozen event selection, frozen coding, and a pre-data commitment to the primary outcome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188038"/>
          <w:sz w:val="24"/>
          <w:szCs w:val="24"/>
          <w:rtl w:val="0"/>
        </w:rPr>
        <w:t xml:space="preserve">car_sector_m1_p1</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5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event-study literature therefore provides both the empirical tool and the cautionary framework. It supports using market reactions as evidence of investor interpretation, but it also requires discipline in event selection, window choice, benchmark choice, and interpretation.</w:t>
      </w:r>
      <w:r w:rsidDel="00000000" w:rsidR="00000000" w:rsidRPr="00000000">
        <w:rPr>
          <w:rtl w:val="0"/>
        </w:rPr>
      </w:r>
    </w:p>
    <w:p w:rsidR="00000000" w:rsidDel="00000000" w:rsidP="00000000" w:rsidRDefault="00000000" w:rsidRPr="00000000" w14:paraId="00000054">
      <w:pPr>
        <w:pStyle w:val="Heading4"/>
        <w:spacing w:after="0" w:before="280" w:lineRule="auto"/>
        <w:rPr>
          <w:rFonts w:ascii="Times New Roman" w:cs="Times New Roman" w:eastAsia="Times New Roman" w:hAnsi="Times New Roman"/>
          <w:color w:val="000000"/>
        </w:rPr>
      </w:pPr>
      <w:bookmarkStart w:colFirst="0" w:colLast="0" w:name="_t18apm1d9dw1" w:id="16"/>
      <w:bookmarkEnd w:id="16"/>
      <w:r w:rsidDel="00000000" w:rsidR="00000000" w:rsidRPr="00000000">
        <w:rPr>
          <w:rFonts w:ascii="Times New Roman" w:cs="Times New Roman" w:eastAsia="Times New Roman" w:hAnsi="Times New Roman"/>
          <w:color w:val="000000"/>
          <w:rtl w:val="0"/>
        </w:rPr>
        <w:t xml:space="preserve">2.6 Investor Interpretation of Mixed Signals</w:t>
      </w:r>
    </w:p>
    <w:p w:rsidR="00000000" w:rsidDel="00000000" w:rsidP="00000000" w:rsidRDefault="00000000" w:rsidRPr="00000000" w14:paraId="0000005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literature concerns how investors interpret information. Efficient-market theory suggests that prices respond to new information about expected value (Fama, 1970; Fama et al., 1969). However, events can contain mixed signals. A government support announcement may imply future subsidies, lower capital costs, and protected demand. It may also imply that the firm faces high costs, strategic vulnerability, or political constraints. Investors must interpret whether the opportunity signal outweighs the threat or weakness signal.</w:t>
      </w:r>
    </w:p>
    <w:p w:rsidR="00000000" w:rsidDel="00000000" w:rsidP="00000000" w:rsidRDefault="00000000" w:rsidRPr="00000000" w14:paraId="0000005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Behavioural finance provides one reason to expect interpretation to vary. Shiller (2003) argues that financial markets cannot be understood only through strict efficient-market assumptions; investor psychology, narratives, and deviations from rational pricing may matter. This does not mean prices are uninformative. Rather, it suggests that market reactions reflect interpretation under uncertainty, not mechanical valuation of objective policy effects.</w:t>
      </w:r>
    </w:p>
    <w:p w:rsidR="00000000" w:rsidDel="00000000" w:rsidP="00000000" w:rsidRDefault="00000000" w:rsidRPr="00000000" w14:paraId="0000005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dissertation’s theory relies on this interpretive step. Geopolitical competition does not automatically produce either negative or positive market reactions. The same event may be understood differently across firms. A named beneficiary may be viewed as receiving credible support, while a competitor may be viewed as disadvantaged or unaffected. A support event may be interpreted as opportunity in one case and weakness in another. This is why the project treats Investor Interpretation as the transmission process between State Support and Positive Market Reaction.</w:t>
      </w:r>
    </w:p>
    <w:p w:rsidR="00000000" w:rsidDel="00000000" w:rsidP="00000000" w:rsidRDefault="00000000" w:rsidRPr="00000000" w14:paraId="0000005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literatures contain the pieces of this argument but rarely integrate them. Geopolitical risk scholarship emphasises threat and uncertainty. Geoeconomics emphasizes state use of economic tools. Industrial policy scholarship emphasizes state support and strategic sectors. Finance scholarship explains price reaction to information. Behavioural finance shows that interpretation can vary. The dissertation connects these pieces to explain why state-support events under geopolitical competition may generate heterogeneous market reactions.</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also clarifies why the dissertation does not expect uniform positive effects. If support events are mixed signals, then reactions should vary by firm, event, credibility, materiality, and benchmark comparison. A positive market reaction is the outcome to be tested, not an assumption. The empirical design therefore allows for supportive, null, and theory-weakening results.</w:t>
      </w:r>
      <w:r w:rsidDel="00000000" w:rsidR="00000000" w:rsidRPr="00000000">
        <w:rPr>
          <w:rtl w:val="0"/>
        </w:rPr>
      </w:r>
    </w:p>
    <w:p w:rsidR="00000000" w:rsidDel="00000000" w:rsidP="00000000" w:rsidRDefault="00000000" w:rsidRPr="00000000" w14:paraId="0000005A">
      <w:pPr>
        <w:pStyle w:val="Heading4"/>
        <w:spacing w:after="0" w:before="280" w:lineRule="auto"/>
        <w:rPr>
          <w:rFonts w:ascii="Times New Roman" w:cs="Times New Roman" w:eastAsia="Times New Roman" w:hAnsi="Times New Roman"/>
          <w:color w:val="000000"/>
        </w:rPr>
      </w:pPr>
      <w:bookmarkStart w:colFirst="0" w:colLast="0" w:name="_gxkukvl9ey6n" w:id="17"/>
      <w:bookmarkEnd w:id="17"/>
      <w:r w:rsidDel="00000000" w:rsidR="00000000" w:rsidRPr="00000000">
        <w:rPr>
          <w:rFonts w:ascii="Times New Roman" w:cs="Times New Roman" w:eastAsia="Times New Roman" w:hAnsi="Times New Roman"/>
          <w:color w:val="000000"/>
          <w:rtl w:val="0"/>
        </w:rPr>
        <w:t xml:space="preserve">2.7 Literature Synthesis: The Missing Link</w:t>
      </w:r>
    </w:p>
    <w:p w:rsidR="00000000" w:rsidDel="00000000" w:rsidP="00000000" w:rsidRDefault="00000000" w:rsidRPr="00000000" w14:paraId="0000005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reviewed in this chapter establishes four major points. First, geopolitical risk research shows that geopolitical competition usually creates uncertainty and downside market risk (Caldara &amp; Iacoviello, 2022). Second, economic statecraft and geoeconomics show that states use economic instruments to pursue strategic goals (Baldwin, 1985; Blackwill &amp; Harris, 2016; Farrell &amp; Newman, 2019, 2023; Hirschman, 1980; Luttwak, 1990). Third, industrial policy and strategic industry scholarship show that governments often support sectors viewed as important for development, innovation, security, or national competitiveness (Amsden, 1989, 2001; Block &amp; Keller, 2011; Chang, 2002; Evans, 1995; Johnson, 1982; Mazzucato, 2013, 2021; Rodrik, 2004; Wade, 1990; Weiss, 2014). Fourth, finance and event-study scholarship show that prices can react to new information and that short-window abnormal returns can be used to study investor expectations (Brown &amp; Warner, 1985; Fama, 1970; Fama et al., 1969; MacKinlay, 1997).</w:t>
      </w:r>
    </w:p>
    <w:p w:rsidR="00000000" w:rsidDel="00000000" w:rsidP="00000000" w:rsidRDefault="00000000" w:rsidRPr="00000000" w14:paraId="0000005C">
      <w:pPr>
        <w:spacing w:after="0" w:before="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missing link is the connection between these literatures. Existing work explains geopolitical risk, economic statecraft, industrial policy, and market reaction, but it does not fully explain the conditional pathway examined in this dissertation: Geopolitical Competition → Strategic Importance → State Support → Investor Interpretation → Market Reaction. </w:t>
      </w:r>
    </w:p>
    <w:p w:rsidR="00000000" w:rsidDel="00000000" w:rsidP="00000000" w:rsidRDefault="00000000" w:rsidRPr="00000000" w14:paraId="0000005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fills this gap by arguing that geopolitical competition can create market opportunity for selected firms when it makes those firms strategically important, induces credible state support, and leads investors to interpret that support as valuation-relevant. This argument does not reject the risk pathway. It adds a conditional opportunity pathway that applies only to selected firms and sectors.</w:t>
      </w:r>
    </w:p>
    <w:p w:rsidR="00000000" w:rsidDel="00000000" w:rsidP="00000000" w:rsidRDefault="00000000" w:rsidRPr="00000000" w14:paraId="0000005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conceptual distinction is between Strategic Importance and State Support. Strategic Importance is a scope condition: it identifies which firms and sectors become relevant to states. State Support is the mechanism: it is the government action that may alter investor expectations. Investor Interpretation is the transmission process: investors decide whether the event signals opportunity, threat, weakness, or some combination of these. Positive Market Reaction is the outcome: the observed abnormal return around the event.</w:t>
      </w:r>
    </w:p>
    <w:p w:rsidR="00000000" w:rsidDel="00000000" w:rsidP="00000000" w:rsidRDefault="00000000" w:rsidRPr="00000000" w14:paraId="0000005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synthesis leads directly to the theory in Chapter 3 and the research design in Chapter 4. Chapter 3 specifies the mechanism and hypotheses. Chapter 4 translates the argument into a small-sample event-study design focused on semiconductor state-support announcements. Together, these chapters use the literature gap identified here to motivate a disciplined empirical test of whether state-backed opportunity appears in market reactions to geopolitical competition.</w:t>
      </w:r>
    </w:p>
    <w:p w:rsidR="00000000" w:rsidDel="00000000" w:rsidP="00000000" w:rsidRDefault="00000000" w:rsidRPr="00000000" w14:paraId="00000060">
      <w:pPr>
        <w:pStyle w:val="Heading3"/>
        <w:spacing w:before="0" w:lineRule="auto"/>
        <w:rPr>
          <w:rFonts w:ascii="Times New Roman" w:cs="Times New Roman" w:eastAsia="Times New Roman" w:hAnsi="Times New Roman"/>
          <w:color w:val="000000"/>
          <w:sz w:val="24"/>
          <w:szCs w:val="24"/>
        </w:rPr>
      </w:pPr>
      <w:bookmarkStart w:colFirst="0" w:colLast="0" w:name="_6yzen8b3mu1x" w:id="18"/>
      <w:bookmarkEnd w:id="18"/>
      <w:r w:rsidDel="00000000" w:rsidR="00000000" w:rsidRPr="00000000">
        <w:rPr>
          <w:rFonts w:ascii="Times New Roman" w:cs="Times New Roman" w:eastAsia="Times New Roman" w:hAnsi="Times New Roman"/>
          <w:color w:val="000000"/>
          <w:sz w:val="24"/>
          <w:szCs w:val="24"/>
          <w:rtl w:val="0"/>
        </w:rPr>
        <w:t xml:space="preserve">Chapter 3. Theory</w:t>
      </w:r>
    </w:p>
    <w:p w:rsidR="00000000" w:rsidDel="00000000" w:rsidP="00000000" w:rsidRDefault="00000000" w:rsidRPr="00000000" w14:paraId="00000061">
      <w:pPr>
        <w:pStyle w:val="Heading4"/>
        <w:spacing w:before="200" w:lineRule="auto"/>
        <w:rPr>
          <w:rFonts w:ascii="Times New Roman" w:cs="Times New Roman" w:eastAsia="Times New Roman" w:hAnsi="Times New Roman"/>
          <w:color w:val="000000"/>
        </w:rPr>
      </w:pPr>
      <w:bookmarkStart w:colFirst="0" w:colLast="0" w:name="_x4n8vy5xgdm6" w:id="19"/>
      <w:bookmarkEnd w:id="19"/>
      <w:r w:rsidDel="00000000" w:rsidR="00000000" w:rsidRPr="00000000">
        <w:rPr>
          <w:rFonts w:ascii="Times New Roman" w:cs="Times New Roman" w:eastAsia="Times New Roman" w:hAnsi="Times New Roman"/>
          <w:color w:val="000000"/>
          <w:rtl w:val="0"/>
        </w:rPr>
        <w:t xml:space="preserve">3.1 Introduction</w:t>
      </w:r>
    </w:p>
    <w:p w:rsidR="00000000" w:rsidDel="00000000" w:rsidP="00000000" w:rsidRDefault="00000000" w:rsidRPr="00000000" w14:paraId="00000062">
      <w:pPr>
        <w:spacing w:after="0" w:before="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This chapter presents the theoretical framework for the dissertation. The central question is when geopolitical competition generates positive market reactions for strategically important firms or sectors through expected state support. The theory does not claim that geopolitical competition is generally beneficial for markets. It begins from the opposite premise: geopolitical competition often increases uncertainty, raises compliance costs, restricts market access, disrupts supply chains, and produces negative aggregate market effects. The puzzle is that selected firms may nevertheless experience positive market reactions when geopolitical competition leads states to provide credible support to strategically important actors. The argument is organised around a conditional pathway: Geopolitical Competition → Strategic Importance → State Support → Investor Interpretation → Positive Market Reaction. </w:t>
      </w:r>
    </w:p>
    <w:p w:rsidR="00000000" w:rsidDel="00000000" w:rsidP="00000000" w:rsidRDefault="00000000" w:rsidRPr="00000000" w14:paraId="0000006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mechanism is state support. Strategic importance identifies which firms, sectors, technologies, or locations become salient to governments under geopolitical competition. However, strategic importance alone does not guarantee positive market reactions. A strategically important firm may still face export restrictions, retaliation, input disruption, or costly compliance obligations. Positive market reactions become more likely when strategic importance is converted into credible state support, and when investors interpret that support as improving expected cash flows or reducing downside risk. The frozen theoretical claim is narrow: Geopolitical competition generates positive market reactions when strategically important firms or sectors are expected to receive credible state support that improves future cash flows or reduces downside risk. This chapter develops that claim without expanding the theory beyond the frozen project logic.</w:t>
      </w:r>
    </w:p>
    <w:p w:rsidR="00000000" w:rsidDel="00000000" w:rsidP="00000000" w:rsidRDefault="00000000" w:rsidRPr="00000000" w14:paraId="00000064">
      <w:pPr>
        <w:pStyle w:val="Heading4"/>
        <w:spacing w:before="200" w:lineRule="auto"/>
        <w:rPr>
          <w:rFonts w:ascii="Times New Roman" w:cs="Times New Roman" w:eastAsia="Times New Roman" w:hAnsi="Times New Roman"/>
          <w:color w:val="000000"/>
        </w:rPr>
      </w:pPr>
      <w:bookmarkStart w:colFirst="0" w:colLast="0" w:name="_4ir0v4va02no" w:id="20"/>
      <w:bookmarkEnd w:id="20"/>
      <w:r w:rsidDel="00000000" w:rsidR="00000000" w:rsidRPr="00000000">
        <w:rPr>
          <w:rFonts w:ascii="Times New Roman" w:cs="Times New Roman" w:eastAsia="Times New Roman" w:hAnsi="Times New Roman"/>
          <w:color w:val="000000"/>
          <w:rtl w:val="0"/>
        </w:rPr>
        <w:t xml:space="preserve">3.2 The Traditional Risk Pathway</w:t>
      </w:r>
    </w:p>
    <w:p w:rsidR="00000000" w:rsidDel="00000000" w:rsidP="00000000" w:rsidRDefault="00000000" w:rsidRPr="00000000" w14:paraId="00000065">
      <w:pPr>
        <w:spacing w:after="0" w:before="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standard expectation in much work on geopolitical risk is that geopolitical competition creates market losses. Rivalry among states can increase uncertainty, disrupt trade and investment, restrict technology flows, and reduce confidence in future earnings. Wars, sanctions, export controls, investment restrictions, and strategic decoupling can all produce risk-off reactions in financial markets. This risk pathway can be summarised as: Geopolitical Competition → Threat / Restriction / Uncertainty → Negative Market Reaction. </w:t>
      </w:r>
    </w:p>
    <w:p w:rsidR="00000000" w:rsidDel="00000000" w:rsidP="00000000" w:rsidRDefault="00000000" w:rsidRPr="00000000" w14:paraId="0000006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pathway remains central to the dissertation. The theory does not reject it. In many cases, the threat channel should dominate. Firms exposed to restricted markets, retaliation, input shortages, or compliance costs may lose value. Broad market indices may also fall when geopolitical events increase uncertainty or worsen macroeconomic expectations.</w:t>
      </w:r>
    </w:p>
    <w:p w:rsidR="00000000" w:rsidDel="00000000" w:rsidP="00000000" w:rsidRDefault="00000000" w:rsidRPr="00000000" w14:paraId="0000006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contribution of the dissertation is to identify a second pathway that may operate for selected firms. Geopolitical competition may not only create risks; it may also increase the political value of firms or sectors that governments view as strategically important. When this strategic importance produces credible state support, investors may interpret the event as an opportunity signal rather than only a threat signal.</w:t>
      </w:r>
    </w:p>
    <w:p w:rsidR="00000000" w:rsidDel="00000000" w:rsidP="00000000" w:rsidRDefault="00000000" w:rsidRPr="00000000" w14:paraId="00000068">
      <w:pPr>
        <w:pStyle w:val="Heading4"/>
        <w:spacing w:before="200" w:lineRule="auto"/>
        <w:rPr>
          <w:rFonts w:ascii="Times New Roman" w:cs="Times New Roman" w:eastAsia="Times New Roman" w:hAnsi="Times New Roman"/>
          <w:color w:val="000000"/>
        </w:rPr>
      </w:pPr>
      <w:bookmarkStart w:colFirst="0" w:colLast="0" w:name="_ktz0jy9xmhvp" w:id="21"/>
      <w:bookmarkEnd w:id="21"/>
      <w:r w:rsidDel="00000000" w:rsidR="00000000" w:rsidRPr="00000000">
        <w:rPr>
          <w:rFonts w:ascii="Times New Roman" w:cs="Times New Roman" w:eastAsia="Times New Roman" w:hAnsi="Times New Roman"/>
          <w:color w:val="000000"/>
          <w:rtl w:val="0"/>
        </w:rPr>
        <w:t xml:space="preserve">3.3 Geopolitical Competition</w:t>
      </w:r>
    </w:p>
    <w:p w:rsidR="00000000" w:rsidDel="00000000" w:rsidP="00000000" w:rsidRDefault="00000000" w:rsidRPr="00000000" w14:paraId="0000006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Geopolitical competition refers to rivalry among states using military, economic, technological, regulatory, and industrial-policy tools to pursue security, influence, autonomy, or strategic advantage. In this project, the relevant events are not generic diplomatic tensions. The empirical focus is on policy-relevant actions such as subsidies, procurement commitments, export controls, industrial-policy announcements, strategic investment, and supply-chain restrictions.</w:t>
      </w:r>
    </w:p>
    <w:p w:rsidR="00000000" w:rsidDel="00000000" w:rsidP="00000000" w:rsidRDefault="00000000" w:rsidRPr="00000000" w14:paraId="0000006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Geopolitical competition matters because it changes the political value of economic activity. Technologies, firms, production sites, and supply chains that might otherwise be evaluated mainly in commercial terms can become national-security concerns. Semiconductors are a clear example. They are inputs into consumer electronics, cloud computing, artificial intelligence, weapons systems, telecommunications, and critical infrastructure. As geopolitical competition intensifies, governments may treat semiconductor production capacity, design capability, manufacturing equipment, and trusted supply chains as strategic assets.</w:t>
      </w:r>
    </w:p>
    <w:p w:rsidR="00000000" w:rsidDel="00000000" w:rsidP="00000000" w:rsidRDefault="00000000" w:rsidRPr="00000000" w14:paraId="0000006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does not mean that every firm in a strategic sector benefits. Competition may harm some firms while helping others. The theoretical issue is therefore not whether geopolitical competition is good or bad in aggregate, but how investors distinguish between threatened firms and supported firms within the same broad geopolitical environment.</w:t>
      </w:r>
    </w:p>
    <w:p w:rsidR="00000000" w:rsidDel="00000000" w:rsidP="00000000" w:rsidRDefault="00000000" w:rsidRPr="00000000" w14:paraId="0000006C">
      <w:pPr>
        <w:pStyle w:val="Heading4"/>
        <w:spacing w:before="200" w:lineRule="auto"/>
        <w:rPr>
          <w:rFonts w:ascii="Times New Roman" w:cs="Times New Roman" w:eastAsia="Times New Roman" w:hAnsi="Times New Roman"/>
          <w:color w:val="000000"/>
        </w:rPr>
      </w:pPr>
      <w:bookmarkStart w:colFirst="0" w:colLast="0" w:name="_dy4ow6i1g518" w:id="22"/>
      <w:bookmarkEnd w:id="22"/>
      <w:r w:rsidDel="00000000" w:rsidR="00000000" w:rsidRPr="00000000">
        <w:rPr>
          <w:rFonts w:ascii="Times New Roman" w:cs="Times New Roman" w:eastAsia="Times New Roman" w:hAnsi="Times New Roman"/>
          <w:color w:val="000000"/>
          <w:rtl w:val="0"/>
        </w:rPr>
        <w:t xml:space="preserve">3.4 Strategic Importance as Scope Condition</w:t>
      </w:r>
    </w:p>
    <w:p w:rsidR="00000000" w:rsidDel="00000000" w:rsidP="00000000" w:rsidRDefault="00000000" w:rsidRPr="00000000" w14:paraId="0000006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importance is the degree to which a firm, sector, technology, or location is viewed by governments as important for national security, technological leadership, economic resilience, military capability, or control over critical supply chains. Strategic importance is a scope condition in the theory. It identifies where states are likely to care, but it does not itself create the market mechanism.</w:t>
      </w:r>
    </w:p>
    <w:p w:rsidR="00000000" w:rsidDel="00000000" w:rsidP="00000000" w:rsidRDefault="00000000" w:rsidRPr="00000000" w14:paraId="0000006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firm may be strategically important because it controls a critical technology, produces an essential input, occupies a supply-chain chokepoint, operates in a trusted location, or contributes to military and economic resilience. In semiconductor markets, strategic importance may attach to advanced fabrication, memory production, foundry capacity, semiconductor manufacturing equipment, or supply-chain redundancy.</w:t>
      </w:r>
    </w:p>
    <w:p w:rsidR="00000000" w:rsidDel="00000000" w:rsidP="00000000" w:rsidRDefault="00000000" w:rsidRPr="00000000" w14:paraId="0000006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strategic importance is not sufficient for positive market reactions. A strategically important firm may face new restrictions, lose access to foreign markets, incur costly domestic investment obligations, or become exposed to political conditions attached to support. Strategic importance may even increase regulatory scrutiny. For that reason, strategic importance should not be treated as the causal mechanism. It is the condition that makes state support more likely.</w:t>
      </w:r>
    </w:p>
    <w:p w:rsidR="00000000" w:rsidDel="00000000" w:rsidP="00000000" w:rsidRDefault="00000000" w:rsidRPr="00000000" w14:paraId="0000007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therefore distinguishes clearly between strategic importance and state support. Strategic importance explains why a government may intervene. State support explains why investors may update their expectations about firm value.</w:t>
      </w:r>
    </w:p>
    <w:p w:rsidR="00000000" w:rsidDel="00000000" w:rsidP="00000000" w:rsidRDefault="00000000" w:rsidRPr="00000000" w14:paraId="00000071">
      <w:pPr>
        <w:pStyle w:val="Heading4"/>
        <w:spacing w:before="200" w:lineRule="auto"/>
        <w:rPr>
          <w:rFonts w:ascii="Times New Roman" w:cs="Times New Roman" w:eastAsia="Times New Roman" w:hAnsi="Times New Roman"/>
          <w:color w:val="000000"/>
        </w:rPr>
      </w:pPr>
      <w:bookmarkStart w:colFirst="0" w:colLast="0" w:name="_8y06uua47ehe" w:id="23"/>
      <w:bookmarkEnd w:id="23"/>
      <w:r w:rsidDel="00000000" w:rsidR="00000000" w:rsidRPr="00000000">
        <w:rPr>
          <w:rFonts w:ascii="Times New Roman" w:cs="Times New Roman" w:eastAsia="Times New Roman" w:hAnsi="Times New Roman"/>
          <w:color w:val="000000"/>
          <w:rtl w:val="0"/>
        </w:rPr>
        <w:t xml:space="preserve">3.5 State Support as Mechanism</w:t>
      </w:r>
    </w:p>
    <w:p w:rsidR="00000000" w:rsidDel="00000000" w:rsidP="00000000" w:rsidRDefault="00000000" w:rsidRPr="00000000" w14:paraId="0000007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support is the core conversion mechanism in the theory. It refers to government action that plausibly improves the expected economic position of strategically important firms or sectors. It includes subsidies, procurement, grants, tax credits, loans, guarantees, regulation, protection, industrial policy, local-content rules, trusted-supplier rules, and strategic capacity commitments.</w:t>
      </w:r>
    </w:p>
    <w:p w:rsidR="00000000" w:rsidDel="00000000" w:rsidP="00000000" w:rsidRDefault="00000000" w:rsidRPr="00000000" w14:paraId="0000007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support can affect market expectations through several channels. It may increase expected revenue by creating procurement demand or subsidised capacity expansion. It may lower capital costs by providing grants, loans, guarantees, or tax credits. It may protect demand by favoring trusted suppliers or domestic production. It may reduce downside risk by signaling that the state views the firm or sector as too strategically important to allow failure or decline.</w:t>
      </w:r>
    </w:p>
    <w:p w:rsidR="00000000" w:rsidDel="00000000" w:rsidP="00000000" w:rsidRDefault="00000000" w:rsidRPr="00000000" w14:paraId="0000007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is not that markets mechanically reward all government support. Support can be too small, too anticipated, too conditional, or too costly to generate positive reactions. It may also signal that a firm needs public assistance, which can weaken investor confidence. The mechanism therefore depends on credibility, materiality, directness, and investor interpretation.</w:t>
      </w:r>
    </w:p>
    <w:p w:rsidR="00000000" w:rsidDel="00000000" w:rsidP="00000000" w:rsidRDefault="00000000" w:rsidRPr="00000000" w14:paraId="0000007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strongest version of the mechanism appears when support is specific, funded, and attached to identifiable firms or sectors. Direct named support should provide clearer information to investors than broad policy rhetoric. A named preliminary funding announcement, for example, identifies a beneficiary more clearly than a general statement about national industrial priorities.</w:t>
      </w:r>
    </w:p>
    <w:p w:rsidR="00000000" w:rsidDel="00000000" w:rsidP="00000000" w:rsidRDefault="00000000" w:rsidRPr="00000000" w14:paraId="00000076">
      <w:pPr>
        <w:pStyle w:val="Heading4"/>
        <w:spacing w:before="200" w:lineRule="auto"/>
        <w:rPr>
          <w:rFonts w:ascii="Times New Roman" w:cs="Times New Roman" w:eastAsia="Times New Roman" w:hAnsi="Times New Roman"/>
          <w:color w:val="000000"/>
        </w:rPr>
      </w:pPr>
      <w:bookmarkStart w:colFirst="0" w:colLast="0" w:name="_gmqii2m0y2rh" w:id="24"/>
      <w:bookmarkEnd w:id="24"/>
      <w:r w:rsidDel="00000000" w:rsidR="00000000" w:rsidRPr="00000000">
        <w:rPr>
          <w:rFonts w:ascii="Times New Roman" w:cs="Times New Roman" w:eastAsia="Times New Roman" w:hAnsi="Times New Roman"/>
          <w:color w:val="000000"/>
          <w:rtl w:val="0"/>
        </w:rPr>
        <w:t xml:space="preserve">3.6 Investor Interpretation</w:t>
      </w:r>
    </w:p>
    <w:p w:rsidR="00000000" w:rsidDel="00000000" w:rsidP="00000000" w:rsidRDefault="00000000" w:rsidRPr="00000000" w14:paraId="0000007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 interpretation is the final step before market reaction. Geopolitical events are not automatically classified by markets as either threats or opportunities. They may contain both signals at once. A state-support announcement may imply future subsidies and protected demand, but it may also signal high costs, political constraints, or prior weakness. An export-control event may threaten exposed firms, but it may also imply substitution opportunities for competitors.</w:t>
      </w:r>
    </w:p>
    <w:p w:rsidR="00000000" w:rsidDel="00000000" w:rsidP="00000000" w:rsidRDefault="00000000" w:rsidRPr="00000000" w14:paraId="0000007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Investors therefore interpret the event by assessing whether the opportunity signal outweighs the threat signal for particular firms. Positive market reactions should be most likely when the opportunity signal is credible, material, and attached to a visible public-market beneficiary. Negative reactions should be more likely when restrictions, uncertainty, retaliation, or cost burdens dominate.</w:t>
      </w:r>
    </w:p>
    <w:p w:rsidR="00000000" w:rsidDel="00000000" w:rsidP="00000000" w:rsidRDefault="00000000" w:rsidRPr="00000000" w14:paraId="0000007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expects heterogeneous reactions. Some firms may gain while others lose around the same event. A named beneficiary may react differently from a sector peer. A broad benchmark may move differently from a firm directly named in a policy announcement. This cross-sectional logic is central to the research design.</w:t>
      </w:r>
    </w:p>
    <w:p w:rsidR="00000000" w:rsidDel="00000000" w:rsidP="00000000" w:rsidRDefault="00000000" w:rsidRPr="00000000" w14:paraId="0000007A">
      <w:pPr>
        <w:pStyle w:val="Heading4"/>
        <w:spacing w:before="200" w:lineRule="auto"/>
        <w:rPr>
          <w:rFonts w:ascii="Times New Roman" w:cs="Times New Roman" w:eastAsia="Times New Roman" w:hAnsi="Times New Roman"/>
          <w:color w:val="000000"/>
        </w:rPr>
      </w:pPr>
      <w:bookmarkStart w:colFirst="0" w:colLast="0" w:name="_kxjxgc621rov" w:id="25"/>
      <w:bookmarkEnd w:id="25"/>
      <w:r w:rsidDel="00000000" w:rsidR="00000000" w:rsidRPr="00000000">
        <w:rPr>
          <w:rFonts w:ascii="Times New Roman" w:cs="Times New Roman" w:eastAsia="Times New Roman" w:hAnsi="Times New Roman"/>
          <w:color w:val="000000"/>
          <w:rtl w:val="0"/>
        </w:rPr>
        <w:t xml:space="preserve">3.7 Market Reaction</w:t>
      </w:r>
    </w:p>
    <w:p w:rsidR="00000000" w:rsidDel="00000000" w:rsidP="00000000" w:rsidRDefault="00000000" w:rsidRPr="00000000" w14:paraId="0000007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reaction refers to short-window changes in firm or sector value around policy-relevant geopolitical events. The dissertation focuses on abnormal returns rather than long-term welfare, policy success, or realised productivity. The outcome captures investor expectations at the time of the event.</w:t>
      </w:r>
    </w:p>
    <w:p w:rsidR="00000000" w:rsidDel="00000000" w:rsidP="00000000" w:rsidRDefault="00000000" w:rsidRPr="00000000" w14:paraId="0000007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positive market reaction does not prove that state support will succeed. It does not prove that policy improves social welfare or firm fundamentals in the long run. It shows that investors priced the event in a way consistent with improved expected cash flows, reduced downside risk, protected demand, or other valuation-relevant benefits.</w:t>
      </w:r>
    </w:p>
    <w:p w:rsidR="00000000" w:rsidDel="00000000" w:rsidP="00000000" w:rsidRDefault="00000000" w:rsidRPr="00000000" w14:paraId="0000007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is therefore a market-expectations theory. It asks whether credible state support under geopolitical competition is visible in short-window market reactions for strategically important firms.</w:t>
      </w:r>
    </w:p>
    <w:p w:rsidR="00000000" w:rsidDel="00000000" w:rsidP="00000000" w:rsidRDefault="00000000" w:rsidRPr="00000000" w14:paraId="0000007E">
      <w:pPr>
        <w:pStyle w:val="Heading4"/>
        <w:spacing w:before="200" w:lineRule="auto"/>
        <w:rPr>
          <w:rFonts w:ascii="Times New Roman" w:cs="Times New Roman" w:eastAsia="Times New Roman" w:hAnsi="Times New Roman"/>
          <w:color w:val="000000"/>
        </w:rPr>
      </w:pPr>
      <w:bookmarkStart w:colFirst="0" w:colLast="0" w:name="_98zayj1refru" w:id="26"/>
      <w:bookmarkEnd w:id="26"/>
      <w:r w:rsidDel="00000000" w:rsidR="00000000" w:rsidRPr="00000000">
        <w:rPr>
          <w:rFonts w:ascii="Times New Roman" w:cs="Times New Roman" w:eastAsia="Times New Roman" w:hAnsi="Times New Roman"/>
          <w:color w:val="000000"/>
          <w:rtl w:val="0"/>
        </w:rPr>
        <w:t xml:space="preserve">3.8 Hypotheses</w:t>
      </w:r>
    </w:p>
    <w:p w:rsidR="00000000" w:rsidDel="00000000" w:rsidP="00000000" w:rsidRDefault="00000000" w:rsidRPr="00000000" w14:paraId="0000007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uses the existing frozen hypotheses. H1 State Support Hypothesis: Geopolitical competition events that include credible state support will produce more positive market reactions for affected firms or sectors than events that only increase geopolitical tension. H2 Strategic Importance Scope Hypothesis: State support will have stronger positive market effects when directed toward strategically important firms or sectors than when directed toward less strategically important firms or sectors. H3 Threat Dominance Hypothesis: When geopolitical events impose direct restrictions, lost market access, retaliation risk, or input disruption without credible offsetting state support, threat signals will dominate and market reactions will be negative.H4 Substitution / Reallocation Hypothesis: Geopolitical restrictions will produce positive market reactions for alternative suppliers or trusted-location beneficiaries when the event plausibly redirects demand, sourcing, or investment toward them. H5 Adaptation / Learning Hypothesis: As similar geopolitical-policy events repeat, market reactions will become more differentiated between threatened firms and state-supported or strategically positioned beneficiaries.</w:t>
      </w:r>
    </w:p>
    <w:p w:rsidR="00000000" w:rsidDel="00000000" w:rsidP="00000000" w:rsidRDefault="00000000" w:rsidRPr="00000000" w14:paraId="0000008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hypotheses preserve the core distinction between threat-dominant events and support-linked opportunity events. They also preserve the expectation that market reactions should vary across firms depending on exposure role, strategic position, and expected state support.</w:t>
      </w:r>
    </w:p>
    <w:p w:rsidR="00000000" w:rsidDel="00000000" w:rsidP="00000000" w:rsidRDefault="00000000" w:rsidRPr="00000000" w14:paraId="00000081">
      <w:pPr>
        <w:pStyle w:val="Heading4"/>
        <w:spacing w:before="200" w:lineRule="auto"/>
        <w:rPr>
          <w:rFonts w:ascii="Times New Roman" w:cs="Times New Roman" w:eastAsia="Times New Roman" w:hAnsi="Times New Roman"/>
          <w:color w:val="000000"/>
        </w:rPr>
      </w:pPr>
      <w:bookmarkStart w:colFirst="0" w:colLast="0" w:name="_g298koz1qmdw" w:id="27"/>
      <w:bookmarkEnd w:id="27"/>
      <w:r w:rsidDel="00000000" w:rsidR="00000000" w:rsidRPr="00000000">
        <w:rPr>
          <w:rFonts w:ascii="Times New Roman" w:cs="Times New Roman" w:eastAsia="Times New Roman" w:hAnsi="Times New Roman"/>
          <w:color w:val="000000"/>
          <w:rtl w:val="0"/>
        </w:rPr>
        <w:t xml:space="preserve">3.9 Scope Conditions</w:t>
      </w:r>
    </w:p>
    <w:p w:rsidR="00000000" w:rsidDel="00000000" w:rsidP="00000000" w:rsidRDefault="00000000" w:rsidRPr="00000000" w14:paraId="0000008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should apply most directly in strategic sectors where governments have clear security, resilience, or technological leadership concerns. These include semiconductors, defense, energy security, AI infrastructure, critical minerals, telecommunications, and supply-chain chokepoints. The empirical test in this dissertation focuses on semiconductors because the sector is strategically important, subject to observable state support, represented by public firms and benchmarks, and exposed to both support and threat-dominant events.</w:t>
      </w:r>
    </w:p>
    <w:p w:rsidR="00000000" w:rsidDel="00000000" w:rsidP="00000000" w:rsidRDefault="00000000" w:rsidRPr="00000000" w14:paraId="0000008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should apply less well to broad market shocks, symbolic policy announcements, unsupported strategic firms, fully anticipated events, or cases where support imposes costs that outweigh benefits. It also should not be extended to claim that geopolitical competition is generally positive for markets.</w:t>
      </w:r>
    </w:p>
    <w:p w:rsidR="00000000" w:rsidDel="00000000" w:rsidP="00000000" w:rsidRDefault="00000000" w:rsidRPr="00000000" w14:paraId="00000084">
      <w:pPr>
        <w:pStyle w:val="Heading4"/>
        <w:spacing w:before="200" w:lineRule="auto"/>
        <w:rPr>
          <w:rFonts w:ascii="Times New Roman" w:cs="Times New Roman" w:eastAsia="Times New Roman" w:hAnsi="Times New Roman"/>
          <w:color w:val="000000"/>
        </w:rPr>
      </w:pPr>
      <w:bookmarkStart w:colFirst="0" w:colLast="0" w:name="_k97qfmdc5qx1" w:id="28"/>
      <w:bookmarkEnd w:id="28"/>
      <w:r w:rsidDel="00000000" w:rsidR="00000000" w:rsidRPr="00000000">
        <w:rPr>
          <w:rFonts w:ascii="Times New Roman" w:cs="Times New Roman" w:eastAsia="Times New Roman" w:hAnsi="Times New Roman"/>
          <w:color w:val="000000"/>
          <w:rtl w:val="0"/>
        </w:rPr>
        <w:t xml:space="preserve">3.10 Chapter Summary</w:t>
      </w:r>
    </w:p>
    <w:p w:rsidR="00000000" w:rsidDel="00000000" w:rsidP="00000000" w:rsidRDefault="00000000" w:rsidRPr="00000000" w14:paraId="0000008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has presented the frozen theoretical framework. The central claim is that geopolitical competition can generate positive market reactions for selected firms when strategic importance is converted into credible state support and investors interpret that support as valuation-relevant. The theory is conditional, firm-specific, and limited to market expectations. It does not claim that geopolitical competition is broadly beneficial, that all strategic firms gain, or that state support guarantees long-term success.</w:t>
      </w:r>
    </w:p>
    <w:p w:rsidR="00000000" w:rsidDel="00000000" w:rsidP="00000000" w:rsidRDefault="00000000" w:rsidRPr="00000000" w14:paraId="0000008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chapter translates this framework into the research design. It explains the event selection logic, coding protocol, dataset architecture, event-study design, outcome variables, and pre-data commitment used to test whether the observed market reactions are consistent with the State Support mechanism.</w:t>
      </w:r>
    </w:p>
    <w:p w:rsidR="00000000" w:rsidDel="00000000" w:rsidP="00000000" w:rsidRDefault="00000000" w:rsidRPr="00000000" w14:paraId="00000087">
      <w:pPr>
        <w:pStyle w:val="Heading3"/>
        <w:spacing w:before="480" w:lineRule="auto"/>
        <w:rPr>
          <w:rFonts w:ascii="Times New Roman" w:cs="Times New Roman" w:eastAsia="Times New Roman" w:hAnsi="Times New Roman"/>
          <w:color w:val="000000"/>
          <w:sz w:val="24"/>
          <w:szCs w:val="24"/>
        </w:rPr>
      </w:pPr>
      <w:bookmarkStart w:colFirst="0" w:colLast="0" w:name="_h9wu6ktdpjty" w:id="29"/>
      <w:bookmarkEnd w:id="29"/>
      <w:r w:rsidDel="00000000" w:rsidR="00000000" w:rsidRPr="00000000">
        <w:rPr>
          <w:rFonts w:ascii="Times New Roman" w:cs="Times New Roman" w:eastAsia="Times New Roman" w:hAnsi="Times New Roman"/>
          <w:color w:val="000000"/>
          <w:sz w:val="24"/>
          <w:szCs w:val="24"/>
          <w:rtl w:val="0"/>
        </w:rPr>
        <w:t xml:space="preserve">Chapter 4. Research Design</w:t>
      </w:r>
    </w:p>
    <w:p w:rsidR="00000000" w:rsidDel="00000000" w:rsidP="00000000" w:rsidRDefault="00000000" w:rsidRPr="00000000" w14:paraId="00000088">
      <w:pPr>
        <w:pStyle w:val="Heading4"/>
        <w:spacing w:after="0" w:before="0" w:lineRule="auto"/>
        <w:rPr>
          <w:rFonts w:ascii="Times New Roman" w:cs="Times New Roman" w:eastAsia="Times New Roman" w:hAnsi="Times New Roman"/>
          <w:color w:val="000000"/>
        </w:rPr>
      </w:pPr>
      <w:bookmarkStart w:colFirst="0" w:colLast="0" w:name="_19ahiww9rir2" w:id="30"/>
      <w:bookmarkEnd w:id="30"/>
      <w:r w:rsidDel="00000000" w:rsidR="00000000" w:rsidRPr="00000000">
        <w:rPr>
          <w:rFonts w:ascii="Times New Roman" w:cs="Times New Roman" w:eastAsia="Times New Roman" w:hAnsi="Times New Roman"/>
          <w:color w:val="000000"/>
          <w:rtl w:val="0"/>
        </w:rPr>
        <w:t xml:space="preserve">4.1 Introduction</w:t>
      </w:r>
    </w:p>
    <w:p w:rsidR="00000000" w:rsidDel="00000000" w:rsidP="00000000" w:rsidRDefault="00000000" w:rsidRPr="00000000" w14:paraId="0000008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explains the empirical design used to evaluate the State Support mechanism. The dissertation uses a small-sample event-study design focused on semiconductor state-support announcements and related event-firm observations. The design is intended as a transparent market-expectations test, not a structural causal estimate. It does not claim to identify the full causal effect of geopolitical competition on firm value. Instead, it tests whether named state-support announcements for strategically important semiconductor firms are associated with short-window market reactions consistent with the frozen theory.</w:t>
      </w:r>
    </w:p>
    <w:p w:rsidR="00000000" w:rsidDel="00000000" w:rsidP="00000000" w:rsidRDefault="00000000" w:rsidRPr="00000000" w14:paraId="0000008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follows the pre-committed logic of the project. Events, assets, event-asset links, coding rules, and outcome variables were defined before interpreting returns. The empirical strategy prioritises sector-adjusted returns because the main concern is whether named beneficiaries move differently from the broader semiconductor sector.</w:t>
      </w:r>
    </w:p>
    <w:p w:rsidR="00000000" w:rsidDel="00000000" w:rsidP="00000000" w:rsidRDefault="00000000" w:rsidRPr="00000000" w14:paraId="0000008B">
      <w:pPr>
        <w:pStyle w:val="Heading4"/>
        <w:spacing w:before="200" w:lineRule="auto"/>
        <w:rPr>
          <w:rFonts w:ascii="Times New Roman" w:cs="Times New Roman" w:eastAsia="Times New Roman" w:hAnsi="Times New Roman"/>
          <w:color w:val="000000"/>
        </w:rPr>
      </w:pPr>
      <w:bookmarkStart w:colFirst="0" w:colLast="0" w:name="_t1utnr9jur0g" w:id="31"/>
      <w:bookmarkEnd w:id="31"/>
      <w:r w:rsidDel="00000000" w:rsidR="00000000" w:rsidRPr="00000000">
        <w:rPr>
          <w:rFonts w:ascii="Times New Roman" w:cs="Times New Roman" w:eastAsia="Times New Roman" w:hAnsi="Times New Roman"/>
          <w:color w:val="000000"/>
          <w:rtl w:val="0"/>
        </w:rPr>
        <w:t xml:space="preserve">4.2 Event Selection</w:t>
      </w:r>
    </w:p>
    <w:p w:rsidR="00000000" w:rsidDel="00000000" w:rsidP="00000000" w:rsidRDefault="00000000" w:rsidRPr="00000000" w14:paraId="0000008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universe is restricted to semiconductor or semiconductor-linked geopolitical-policy events. This scope follows directly from the theory and the project’s frozen sample logic. Semiconductors are a most-likely empirical setting for the State Support mechanism because they are strategically important, central to geopolitical competition, and subject to observable state support. The core sample uses a three-tier event structure.</w:t>
      </w:r>
    </w:p>
    <w:p w:rsidR="00000000" w:rsidDel="00000000" w:rsidP="00000000" w:rsidRDefault="00000000" w:rsidRPr="00000000" w14:paraId="0000008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main analysis focuses on direct named semiconductor state-support events. These events must involve a semiconductor or semiconductor-linked strategic sector, clear geopolitical or strategic industrial-policy framing, direct state support, a named beneficiary or clearly named public parent, a publicly dated announcement, and a visible public-market asset.</w:t>
      </w:r>
    </w:p>
    <w:p w:rsidR="00000000" w:rsidDel="00000000" w:rsidP="00000000" w:rsidRDefault="00000000" w:rsidRPr="00000000" w14:paraId="0000008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secondary analysis events include broad support or implementation events that fit the theory but have weaker identification. These events may be broad, anticipated, smaller in materiality, or less cleanly linked to a specific market reaction.</w:t>
      </w:r>
    </w:p>
    <w:p w:rsidR="00000000" w:rsidDel="00000000" w:rsidP="00000000" w:rsidRDefault="00000000" w:rsidRPr="00000000" w14:paraId="0000008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contrast cases include threat-dominant semiconductor geopolitical events without direct state support. These events are useful because the theory distinguishes the support pathway from the threat pathway. However, contrast cases are not the primary support-event test.</w:t>
      </w:r>
    </w:p>
    <w:p w:rsidR="00000000" w:rsidDel="00000000" w:rsidP="00000000" w:rsidRDefault="00000000" w:rsidRPr="00000000" w14:paraId="0000009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direct support events identified in the core sample include Intel CHIPS Act preliminary terms, TSMC Arizona CHIPS Act preliminary terms, Samsung CHIPS Act preliminary terms if measurement is feasible, and Micron CHIPS Act preliminary agreement. The validated primary empirical core used for the locked primary results consists of E009 / INTC, E010 / TSM, and E012 / MU.</w:t>
      </w:r>
    </w:p>
    <w:p w:rsidR="00000000" w:rsidDel="00000000" w:rsidP="00000000" w:rsidRDefault="00000000" w:rsidRPr="00000000" w14:paraId="0000009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selection rule is not based on observed returns. The project explicitly avoids selecting events because they are known to have moved markets. The logic is to identify theoretically relevant state-support events before calculating or interpreting abnormal returns.</w:t>
      </w:r>
    </w:p>
    <w:p w:rsidR="00000000" w:rsidDel="00000000" w:rsidP="00000000" w:rsidRDefault="00000000" w:rsidRPr="00000000" w14:paraId="00000092">
      <w:pPr>
        <w:pStyle w:val="Heading4"/>
        <w:spacing w:before="200" w:lineRule="auto"/>
        <w:rPr>
          <w:rFonts w:ascii="Times New Roman" w:cs="Times New Roman" w:eastAsia="Times New Roman" w:hAnsi="Times New Roman"/>
          <w:color w:val="000000"/>
        </w:rPr>
      </w:pPr>
      <w:bookmarkStart w:colFirst="0" w:colLast="0" w:name="_2vvy1wxjqx83" w:id="32"/>
      <w:bookmarkEnd w:id="32"/>
      <w:r w:rsidDel="00000000" w:rsidR="00000000" w:rsidRPr="00000000">
        <w:rPr>
          <w:rFonts w:ascii="Times New Roman" w:cs="Times New Roman" w:eastAsia="Times New Roman" w:hAnsi="Times New Roman"/>
          <w:color w:val="000000"/>
          <w:rtl w:val="0"/>
        </w:rPr>
        <w:t xml:space="preserve">4.3 Coding Protocol</w:t>
      </w:r>
    </w:p>
    <w:p w:rsidR="00000000" w:rsidDel="00000000" w:rsidP="00000000" w:rsidRDefault="00000000" w:rsidRPr="00000000" w14:paraId="0000009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coding protocol separates event-level information, asset-level information, and event-asset links. This structure is necessary because the theory predicts heterogeneous effects across firms. A single event may affect named beneficiaries, sector peers, benchmarks, and threat-exposed firms differently.</w:t>
      </w:r>
    </w:p>
    <w:p w:rsidR="00000000" w:rsidDel="00000000" w:rsidP="00000000" w:rsidRDefault="00000000" w:rsidRPr="00000000" w14:paraId="0000009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are coded in </w:t>
      </w:r>
      <w:r w:rsidDel="00000000" w:rsidR="00000000" w:rsidRPr="00000000">
        <w:rPr>
          <w:rFonts w:ascii="Times New Roman" w:cs="Times New Roman" w:eastAsia="Times New Roman" w:hAnsi="Times New Roman"/>
          <w:sz w:val="24"/>
          <w:szCs w:val="24"/>
          <w:rtl w:val="0"/>
        </w:rPr>
        <w:t xml:space="preserve">events.csv</w:t>
      </w:r>
      <w:r w:rsidDel="00000000" w:rsidR="00000000" w:rsidRPr="00000000">
        <w:rPr>
          <w:rFonts w:ascii="Times New Roman" w:cs="Times New Roman" w:eastAsia="Times New Roman" w:hAnsi="Times New Roman"/>
          <w:sz w:val="24"/>
          <w:szCs w:val="24"/>
          <w:rtl w:val="0"/>
        </w:rPr>
        <w:t xml:space="preserve">. Event-level fields include event date, event name, event type, policy subtype, country or region, sector, geopolitical competition link, strategic importance, state support, support type, support directness, support credibility, threat signal, opportunity signal, substitution or reallocation logic, anticipation level, beneficiary visibility, support materiality, event date confidence, confound flags, source URL, and coding notes.</w:t>
      </w:r>
    </w:p>
    <w:p w:rsidR="00000000" w:rsidDel="00000000" w:rsidP="00000000" w:rsidRDefault="00000000" w:rsidRPr="00000000" w14:paraId="0000009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 are coded in </w:t>
      </w:r>
      <w:r w:rsidDel="00000000" w:rsidR="00000000" w:rsidRPr="00000000">
        <w:rPr>
          <w:rFonts w:ascii="Times New Roman" w:cs="Times New Roman" w:eastAsia="Times New Roman" w:hAnsi="Times New Roman"/>
          <w:sz w:val="24"/>
          <w:szCs w:val="24"/>
          <w:rtl w:val="0"/>
        </w:rPr>
        <w:t xml:space="preserve">assets.csv</w:t>
      </w:r>
      <w:r w:rsidDel="00000000" w:rsidR="00000000" w:rsidRPr="00000000">
        <w:rPr>
          <w:rFonts w:ascii="Times New Roman" w:cs="Times New Roman" w:eastAsia="Times New Roman" w:hAnsi="Times New Roman"/>
          <w:sz w:val="24"/>
          <w:szCs w:val="24"/>
          <w:rtl w:val="0"/>
        </w:rPr>
        <w:t xml:space="preserve">. Asset-level fields include asset ID, ticker, asset name, asset type, country, listing region, sector, subsector, benchmark role, strategic asset indicator, public market availability, data feasibility, and notes.</w:t>
      </w:r>
    </w:p>
    <w:p w:rsidR="00000000" w:rsidDel="00000000" w:rsidP="00000000" w:rsidRDefault="00000000" w:rsidRPr="00000000" w14:paraId="0000009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Event-asset links are coded in </w:t>
      </w:r>
      <w:r w:rsidDel="00000000" w:rsidR="00000000" w:rsidRPr="00000000">
        <w:rPr>
          <w:rFonts w:ascii="Times New Roman" w:cs="Times New Roman" w:eastAsia="Times New Roman" w:hAnsi="Times New Roman"/>
          <w:sz w:val="24"/>
          <w:szCs w:val="24"/>
          <w:rtl w:val="0"/>
        </w:rPr>
        <w:t xml:space="preserve">event_asset_links.csv</w:t>
      </w:r>
      <w:r w:rsidDel="00000000" w:rsidR="00000000" w:rsidRPr="00000000">
        <w:rPr>
          <w:rFonts w:ascii="Times New Roman" w:cs="Times New Roman" w:eastAsia="Times New Roman" w:hAnsi="Times New Roman"/>
          <w:sz w:val="24"/>
          <w:szCs w:val="24"/>
          <w:rtl w:val="0"/>
        </w:rPr>
        <w:t xml:space="preserve">. Link-level fields include event ID, asset ID, exposure role, primary beneficiary status, expected direction, link strength, link basis, analysis role, data feasibility, and pre-outcome link notes.</w:t>
      </w:r>
    </w:p>
    <w:p w:rsidR="00000000" w:rsidDel="00000000" w:rsidP="00000000" w:rsidRDefault="00000000" w:rsidRPr="00000000" w14:paraId="0000009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coding structure preserves the distinction between named beneficiaries and other linked firms. It also prevents the analysis from treating all firms in a sector as equivalent. The exposure role field identifies whether a firm is a named beneficiary, eligible beneficiary, sector peer, benchmark, threat-exposed firm, or other relevant linked asset. This is essential because the theory expects market reactions to depend on the firm’s relationship to the event.</w:t>
      </w:r>
    </w:p>
    <w:p w:rsidR="00000000" w:rsidDel="00000000" w:rsidP="00000000" w:rsidRDefault="00000000" w:rsidRPr="00000000" w14:paraId="0000009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protocol also distinguishes state-support events from threat-dominant events. State-support coding captures whether an event includes credible government support. Threat-signal coding captures whether an event imposes restrictions, retaliation risk, uncertainty, or market-access loss. This distinction implements the theory’s dual pathway: geopolitical competition can produce either threat-dominant reactions or state-backed opportunity reactions.</w:t>
      </w:r>
    </w:p>
    <w:p w:rsidR="00000000" w:rsidDel="00000000" w:rsidP="00000000" w:rsidRDefault="00000000" w:rsidRPr="00000000" w14:paraId="00000099">
      <w:pPr>
        <w:pStyle w:val="Heading4"/>
        <w:spacing w:before="200" w:lineRule="auto"/>
        <w:rPr>
          <w:rFonts w:ascii="Times New Roman" w:cs="Times New Roman" w:eastAsia="Times New Roman" w:hAnsi="Times New Roman"/>
          <w:color w:val="000000"/>
        </w:rPr>
      </w:pPr>
      <w:bookmarkStart w:colFirst="0" w:colLast="0" w:name="_c1vvylw4udsy" w:id="33"/>
      <w:bookmarkEnd w:id="33"/>
      <w:r w:rsidDel="00000000" w:rsidR="00000000" w:rsidRPr="00000000">
        <w:rPr>
          <w:rFonts w:ascii="Times New Roman" w:cs="Times New Roman" w:eastAsia="Times New Roman" w:hAnsi="Times New Roman"/>
          <w:color w:val="000000"/>
          <w:rtl w:val="0"/>
        </w:rPr>
        <w:t xml:space="preserve">4.4 Dataset Architecture</w:t>
      </w:r>
    </w:p>
    <w:p w:rsidR="00000000" w:rsidDel="00000000" w:rsidP="00000000" w:rsidRDefault="00000000" w:rsidRPr="00000000" w14:paraId="0000009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organised around the event-asset pair. This unit of analysis is necessary because the same event may have different implications for different firms. For example, a state-support announcement may name one beneficiary while also affecting competitors, suppliers, benchmarks, or sector peers.The dataset contains 5 core components.</w:t>
      </w:r>
    </w:p>
    <w:p w:rsidR="00000000" w:rsidDel="00000000" w:rsidP="00000000" w:rsidRDefault="00000000" w:rsidRPr="00000000" w14:paraId="0000009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component is </w:t>
      </w:r>
      <w:r w:rsidDel="00000000" w:rsidR="00000000" w:rsidRPr="00000000">
        <w:rPr>
          <w:rFonts w:ascii="Times New Roman" w:cs="Times New Roman" w:eastAsia="Times New Roman" w:hAnsi="Times New Roman"/>
          <w:sz w:val="24"/>
          <w:szCs w:val="24"/>
          <w:rtl w:val="0"/>
        </w:rPr>
        <w:t xml:space="preserve">events.csv</w:t>
      </w:r>
      <w:r w:rsidDel="00000000" w:rsidR="00000000" w:rsidRPr="00000000">
        <w:rPr>
          <w:rFonts w:ascii="Times New Roman" w:cs="Times New Roman" w:eastAsia="Times New Roman" w:hAnsi="Times New Roman"/>
          <w:sz w:val="24"/>
          <w:szCs w:val="24"/>
          <w:rtl w:val="0"/>
        </w:rPr>
        <w:t xml:space="preserve">, which records the event universe and event-level coding. This file defines the policy events, dates, event types, strategic framing, support coding, threat coding, and source information. The second component is </w:t>
      </w:r>
      <w:r w:rsidDel="00000000" w:rsidR="00000000" w:rsidRPr="00000000">
        <w:rPr>
          <w:rFonts w:ascii="Times New Roman" w:cs="Times New Roman" w:eastAsia="Times New Roman" w:hAnsi="Times New Roman"/>
          <w:sz w:val="24"/>
          <w:szCs w:val="24"/>
          <w:rtl w:val="0"/>
        </w:rPr>
        <w:t xml:space="preserve">assets.csv</w:t>
      </w:r>
      <w:r w:rsidDel="00000000" w:rsidR="00000000" w:rsidRPr="00000000">
        <w:rPr>
          <w:rFonts w:ascii="Times New Roman" w:cs="Times New Roman" w:eastAsia="Times New Roman" w:hAnsi="Times New Roman"/>
          <w:sz w:val="24"/>
          <w:szCs w:val="24"/>
          <w:rtl w:val="0"/>
        </w:rPr>
        <w:t xml:space="preserve">, which records tradable assets and benchmark series. It identifies focal firms, public-market availability, listing region, and benchmark roles. The third component is </w:t>
      </w:r>
      <w:r w:rsidDel="00000000" w:rsidR="00000000" w:rsidRPr="00000000">
        <w:rPr>
          <w:rFonts w:ascii="Times New Roman" w:cs="Times New Roman" w:eastAsia="Times New Roman" w:hAnsi="Times New Roman"/>
          <w:sz w:val="24"/>
          <w:szCs w:val="24"/>
          <w:rtl w:val="0"/>
        </w:rPr>
        <w:t xml:space="preserve">event_asset_links.csv</w:t>
      </w:r>
      <w:r w:rsidDel="00000000" w:rsidR="00000000" w:rsidRPr="00000000">
        <w:rPr>
          <w:rFonts w:ascii="Times New Roman" w:cs="Times New Roman" w:eastAsia="Times New Roman" w:hAnsi="Times New Roman"/>
          <w:sz w:val="24"/>
          <w:szCs w:val="24"/>
          <w:rtl w:val="0"/>
        </w:rPr>
        <w:t xml:space="preserve">, which maps events to assets. It records the exposure relationship between each event and each firm or benchmark. This file is central to the design because it freezes the firm-event relationships before returns are interpreted. The fourth component is </w:t>
      </w:r>
      <w:r w:rsidDel="00000000" w:rsidR="00000000" w:rsidRPr="00000000">
        <w:rPr>
          <w:rFonts w:ascii="Times New Roman" w:cs="Times New Roman" w:eastAsia="Times New Roman" w:hAnsi="Times New Roman"/>
          <w:sz w:val="24"/>
          <w:szCs w:val="24"/>
          <w:rtl w:val="0"/>
        </w:rPr>
        <w:t xml:space="preserve">market_returns.csv</w:t>
      </w:r>
      <w:r w:rsidDel="00000000" w:rsidR="00000000" w:rsidRPr="00000000">
        <w:rPr>
          <w:rFonts w:ascii="Times New Roman" w:cs="Times New Roman" w:eastAsia="Times New Roman" w:hAnsi="Times New Roman"/>
          <w:sz w:val="24"/>
          <w:szCs w:val="24"/>
          <w:rtl w:val="0"/>
        </w:rPr>
        <w:t xml:space="preserve">, a generated return panel. It records adjusted close prices and daily returns for the relevant assets and benchmarks. This file is an intermediate output of the event-study workflow. The fifth component is </w:t>
      </w:r>
      <w:r w:rsidDel="00000000" w:rsidR="00000000" w:rsidRPr="00000000">
        <w:rPr>
          <w:rFonts w:ascii="Times New Roman" w:cs="Times New Roman" w:eastAsia="Times New Roman" w:hAnsi="Times New Roman"/>
          <w:sz w:val="24"/>
          <w:szCs w:val="24"/>
          <w:rtl w:val="0"/>
        </w:rPr>
        <w:t xml:space="preserve">event_firm_returns.csv</w:t>
      </w:r>
      <w:r w:rsidDel="00000000" w:rsidR="00000000" w:rsidRPr="00000000">
        <w:rPr>
          <w:rFonts w:ascii="Times New Roman" w:cs="Times New Roman" w:eastAsia="Times New Roman" w:hAnsi="Times New Roman"/>
          <w:sz w:val="24"/>
          <w:szCs w:val="24"/>
          <w:rtl w:val="0"/>
        </w:rPr>
        <w:t xml:space="preserve">, the event-study output file. It records event-day returns, adjusted abnormal returns, cumulative abnormal returns over multiple windows, event-window coverage, data-quality flags, and calculation notes.</w:t>
      </w:r>
    </w:p>
    <w:p w:rsidR="00000000" w:rsidDel="00000000" w:rsidP="00000000" w:rsidRDefault="00000000" w:rsidRPr="00000000" w14:paraId="0000009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architecture is designed for transparency rather than large-N inference. It allows each event-firm row to be traced back to the event definition, asset definition, link coding, price data, and calculated return outcome.</w:t>
      </w:r>
    </w:p>
    <w:p w:rsidR="00000000" w:rsidDel="00000000" w:rsidP="00000000" w:rsidRDefault="00000000" w:rsidRPr="00000000" w14:paraId="0000009D">
      <w:pPr>
        <w:pStyle w:val="Heading4"/>
        <w:spacing w:before="200" w:lineRule="auto"/>
        <w:rPr>
          <w:rFonts w:ascii="Times New Roman" w:cs="Times New Roman" w:eastAsia="Times New Roman" w:hAnsi="Times New Roman"/>
          <w:color w:val="000000"/>
        </w:rPr>
      </w:pPr>
      <w:bookmarkStart w:colFirst="0" w:colLast="0" w:name="_9en8h093ho4n" w:id="34"/>
      <w:bookmarkEnd w:id="34"/>
      <w:r w:rsidDel="00000000" w:rsidR="00000000" w:rsidRPr="00000000">
        <w:rPr>
          <w:rFonts w:ascii="Times New Roman" w:cs="Times New Roman" w:eastAsia="Times New Roman" w:hAnsi="Times New Roman"/>
          <w:color w:val="000000"/>
          <w:rtl w:val="0"/>
        </w:rPr>
        <w:t xml:space="preserve">4.5 Event-Study Design</w:t>
      </w:r>
    </w:p>
    <w:p w:rsidR="00000000" w:rsidDel="00000000" w:rsidP="00000000" w:rsidRDefault="00000000" w:rsidRPr="00000000" w14:paraId="0000009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uses an event-study design to measure short-window market reactions around policy announcements. The purpose is to evaluate whether investors reacted to state-support announcements in a way consistent with the State Support mechanism.</w:t>
      </w:r>
    </w:p>
    <w:p w:rsidR="00000000" w:rsidDel="00000000" w:rsidP="00000000" w:rsidRDefault="00000000" w:rsidRPr="00000000" w14:paraId="0000009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uses the event date recorded in </w:t>
      </w:r>
      <w:r w:rsidDel="00000000" w:rsidR="00000000" w:rsidRPr="00000000">
        <w:rPr>
          <w:rFonts w:ascii="Times New Roman" w:cs="Times New Roman" w:eastAsia="Times New Roman" w:hAnsi="Times New Roman"/>
          <w:sz w:val="24"/>
          <w:szCs w:val="24"/>
          <w:rtl w:val="0"/>
        </w:rPr>
        <w:t xml:space="preserve">events.csv</w:t>
      </w:r>
      <w:r w:rsidDel="00000000" w:rsidR="00000000" w:rsidRPr="00000000">
        <w:rPr>
          <w:rFonts w:ascii="Times New Roman" w:cs="Times New Roman" w:eastAsia="Times New Roman" w:hAnsi="Times New Roman"/>
          <w:sz w:val="24"/>
          <w:szCs w:val="24"/>
          <w:rtl w:val="0"/>
        </w:rPr>
        <w:t xml:space="preserve">. For US and ADR assets, the event trading date is the first trading day on or after the event date. For conditional foreign-market assets, the workflow uses a transparent timing rule when implemented. The validated primary core uses US-listed or ADR assets, and each primary event is aligned to the first trading day on or after the event date.</w:t>
      </w:r>
    </w:p>
    <w:p w:rsidR="00000000" w:rsidDel="00000000" w:rsidP="00000000" w:rsidRDefault="00000000" w:rsidRPr="00000000" w14:paraId="000000A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event-study design reports raw returns and adjusted returns. The most important adjustment is the semiconductor-sector benchmark adjustment. SMH is used as the preferred semiconductor-sector benchmark when available. SPY is used as a broad market benchmark, and QQQ is used as a technology-heavy benchmark comparison.</w:t>
      </w:r>
    </w:p>
    <w:p w:rsidR="00000000" w:rsidDel="00000000" w:rsidP="00000000" w:rsidRDefault="00000000" w:rsidRPr="00000000" w14:paraId="000000A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sector adjustment is central to the design. A named beneficiary may rise because the entire semiconductor sector rose, not because investors interpreted state support as firm-specific opportunity. The sector-adjusted return therefore provides a stricter test than broad market adjustment alone.</w:t>
      </w:r>
    </w:p>
    <w:p w:rsidR="00000000" w:rsidDel="00000000" w:rsidP="00000000" w:rsidRDefault="00000000" w:rsidRPr="00000000" w14:paraId="000000A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does not claim random assignment. Beneficiaries of state support are selected by policymakers, and policy announcements may be anticipated. The event study therefore measures market reactions around observable announcements. It does not prove that state support caused firm value changes independently of selection, anticipation, or other market conditions.</w:t>
      </w:r>
    </w:p>
    <w:p w:rsidR="00000000" w:rsidDel="00000000" w:rsidP="00000000" w:rsidRDefault="00000000" w:rsidRPr="00000000" w14:paraId="000000A3">
      <w:pPr>
        <w:pStyle w:val="Heading4"/>
        <w:spacing w:before="200" w:lineRule="auto"/>
        <w:rPr>
          <w:rFonts w:ascii="Times New Roman" w:cs="Times New Roman" w:eastAsia="Times New Roman" w:hAnsi="Times New Roman"/>
          <w:color w:val="000000"/>
        </w:rPr>
      </w:pPr>
      <w:bookmarkStart w:colFirst="0" w:colLast="0" w:name="_57x0zzwwsyn" w:id="35"/>
      <w:bookmarkEnd w:id="35"/>
      <w:r w:rsidDel="00000000" w:rsidR="00000000" w:rsidRPr="00000000">
        <w:rPr>
          <w:rFonts w:ascii="Times New Roman" w:cs="Times New Roman" w:eastAsia="Times New Roman" w:hAnsi="Times New Roman"/>
          <w:color w:val="000000"/>
          <w:rtl w:val="0"/>
        </w:rPr>
        <w:t xml:space="preserve">4.6 Outcome Variables</w:t>
      </w:r>
    </w:p>
    <w:p w:rsidR="00000000" w:rsidDel="00000000" w:rsidP="00000000" w:rsidRDefault="00000000" w:rsidRPr="00000000" w14:paraId="000000A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pre-committed primary outcome is: car_sector_m1_p1. This variable measures the cumulative abnormal return over the [-1,+1] window after subtracting the semiconductor-sector benchmark return. It is the primary mechanism outcome because it asks whether the named beneficiary outperformed the semiconductor-sector benchmark in the short event window.</w:t>
      </w:r>
    </w:p>
    <w:p w:rsidR="00000000" w:rsidDel="00000000" w:rsidP="00000000" w:rsidRDefault="00000000" w:rsidRPr="00000000" w14:paraId="000000A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and descriptive outcomes include event-day return, sector-adjusted event-day abnormal return, market-adjusted event-day abnormal return, technology-benchmark-adjusted event-day abnormal return, market-adjusted CAR[-1,+1], technology-adjusted CAR[-1,+1], sector-adjusted CAR[-3,+3], market-adjusted CAR[-3,+3], sector-adjusted CAR[-7,+7], and market-adjusted CAR[-7,+7].</w:t>
      </w:r>
    </w:p>
    <w:p w:rsidR="00000000" w:rsidDel="00000000" w:rsidP="00000000" w:rsidRDefault="00000000" w:rsidRPr="00000000" w14:paraId="000000A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wider windows are descriptive. They may provide context about the persistence or reversal of event-window movements, but they do not replace the primary outcome. The primary evidence classification is based on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important because wider windows are more exposed to confounding news, sector movement, earnings expectations, macroeconomic conditions, and anticipation effects. The research design therefore prioritises the short sector-adjusted window while reporting other measures only as supplementary evidence.</w:t>
      </w:r>
    </w:p>
    <w:p w:rsidR="00000000" w:rsidDel="00000000" w:rsidP="00000000" w:rsidRDefault="00000000" w:rsidRPr="00000000" w14:paraId="000000A8">
      <w:pPr>
        <w:pStyle w:val="Heading4"/>
        <w:spacing w:before="200" w:lineRule="auto"/>
        <w:rPr>
          <w:rFonts w:ascii="Times New Roman" w:cs="Times New Roman" w:eastAsia="Times New Roman" w:hAnsi="Times New Roman"/>
          <w:color w:val="000000"/>
        </w:rPr>
      </w:pPr>
      <w:bookmarkStart w:colFirst="0" w:colLast="0" w:name="_u9p6snwi3588" w:id="36"/>
      <w:bookmarkEnd w:id="36"/>
      <w:r w:rsidDel="00000000" w:rsidR="00000000" w:rsidRPr="00000000">
        <w:rPr>
          <w:rFonts w:ascii="Times New Roman" w:cs="Times New Roman" w:eastAsia="Times New Roman" w:hAnsi="Times New Roman"/>
          <w:color w:val="000000"/>
          <w:rtl w:val="0"/>
        </w:rPr>
        <w:t xml:space="preserve">4.7 Evidence Classification</w:t>
      </w:r>
    </w:p>
    <w:p w:rsidR="00000000" w:rsidDel="00000000" w:rsidP="00000000" w:rsidRDefault="00000000" w:rsidRPr="00000000" w14:paraId="000000A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pre-data commitment defines how primary evidence is classified. The primary evidence variable is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A named beneficiary must show a positive sector-adjusted CAR[-1,+1] to count as supportive evidence. The classification thresholds used in the locked evidence package are:</w:t>
      </w:r>
    </w:p>
    <w:p w:rsidR="00000000" w:rsidDel="00000000" w:rsidP="00000000" w:rsidRDefault="00000000" w:rsidRPr="00000000" w14:paraId="000000AA">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Supportive: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greater than +0.25 percentage points.</w:t>
      </w:r>
    </w:p>
    <w:p w:rsidR="00000000" w:rsidDel="00000000" w:rsidP="00000000" w:rsidRDefault="00000000" w:rsidRPr="00000000" w14:paraId="000000AB">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between -0.25 and +0.25 percentage points.</w:t>
      </w:r>
    </w:p>
    <w:p w:rsidR="00000000" w:rsidDel="00000000" w:rsidP="00000000" w:rsidRDefault="00000000" w:rsidRPr="00000000" w14:paraId="000000AC">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Theory-weakening: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less than -0.25 percentage points.</w:t>
      </w:r>
    </w:p>
    <w:p w:rsidR="00000000" w:rsidDel="00000000" w:rsidP="00000000" w:rsidRDefault="00000000" w:rsidRPr="00000000" w14:paraId="000000AD">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classification rule is designed to prevent post hoc reinterpretation. If a named beneficiary does not outperform the semiconductor benchmark, the result cannot be rescued by pointing only to broad-market outperformance or wider-window movement. Anticipation, support-as-weakness, and market complexity may be discussed as limitations, but they do not change the classification of the primary outcome.</w:t>
      </w:r>
    </w:p>
    <w:p w:rsidR="00000000" w:rsidDel="00000000" w:rsidP="00000000" w:rsidRDefault="00000000" w:rsidRPr="00000000" w14:paraId="000000AE">
      <w:pPr>
        <w:pStyle w:val="Heading4"/>
        <w:spacing w:before="200" w:lineRule="auto"/>
        <w:rPr>
          <w:rFonts w:ascii="Times New Roman" w:cs="Times New Roman" w:eastAsia="Times New Roman" w:hAnsi="Times New Roman"/>
          <w:color w:val="000000"/>
        </w:rPr>
      </w:pPr>
      <w:bookmarkStart w:colFirst="0" w:colLast="0" w:name="_kqyd9q54f1g" w:id="37"/>
      <w:bookmarkEnd w:id="37"/>
      <w:r w:rsidDel="00000000" w:rsidR="00000000" w:rsidRPr="00000000">
        <w:rPr>
          <w:rFonts w:ascii="Times New Roman" w:cs="Times New Roman" w:eastAsia="Times New Roman" w:hAnsi="Times New Roman"/>
          <w:color w:val="000000"/>
          <w:rtl w:val="0"/>
        </w:rPr>
        <w:t xml:space="preserve">4.8 Pre-Data Commitment</w:t>
      </w:r>
    </w:p>
    <w:p w:rsidR="00000000" w:rsidDel="00000000" w:rsidP="00000000" w:rsidRDefault="00000000" w:rsidRPr="00000000" w14:paraId="000000A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pre-data commitment binds the empirical interpretation before market returns are evaluated. It identifies the primary outcome, the core sample, the classification logic, and the role of secondary outcomes.</w:t>
      </w:r>
    </w:p>
    <w:p w:rsidR="00000000" w:rsidDel="00000000" w:rsidP="00000000" w:rsidRDefault="00000000" w:rsidRPr="00000000" w14:paraId="000000B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commitment is that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is the primary outcome for the main support-event test. Positive SPY-adjusted returns that disappear against SMH are not treated as strong evidence. Export-control, Entity List, and retaliation events are contrast cases only and are not part of the main support-event test.</w:t>
      </w:r>
    </w:p>
    <w:p w:rsidR="00000000" w:rsidDel="00000000" w:rsidP="00000000" w:rsidRDefault="00000000" w:rsidRPr="00000000" w14:paraId="000000B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pre-data commitment also specifies that secondary outcomes can clarify timing and robustness but cannot overturn the primary outcome. This prevents the analysis from shifting to whichever return window produces the most favorable result after observing the data.</w:t>
      </w:r>
    </w:p>
    <w:p w:rsidR="00000000" w:rsidDel="00000000" w:rsidP="00000000" w:rsidRDefault="00000000" w:rsidRPr="00000000" w14:paraId="000000B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pre-data commitment is not to eliminate all ambiguity. Event studies of policy announcements remain vulnerable to anticipation, bundling, and confounding market conditions. The commitment instead ensures that the dissertation evaluates evidence according to rules specified before interpreting returns.</w:t>
      </w:r>
    </w:p>
    <w:p w:rsidR="00000000" w:rsidDel="00000000" w:rsidP="00000000" w:rsidRDefault="00000000" w:rsidRPr="00000000" w14:paraId="000000B3">
      <w:pPr>
        <w:pStyle w:val="Heading4"/>
        <w:spacing w:before="200" w:lineRule="auto"/>
        <w:rPr>
          <w:rFonts w:ascii="Times New Roman" w:cs="Times New Roman" w:eastAsia="Times New Roman" w:hAnsi="Times New Roman"/>
          <w:color w:val="000000"/>
        </w:rPr>
      </w:pPr>
      <w:bookmarkStart w:colFirst="0" w:colLast="0" w:name="_rwnrqpv1sqtt" w:id="38"/>
      <w:bookmarkEnd w:id="38"/>
      <w:r w:rsidDel="00000000" w:rsidR="00000000" w:rsidRPr="00000000">
        <w:rPr>
          <w:rFonts w:ascii="Times New Roman" w:cs="Times New Roman" w:eastAsia="Times New Roman" w:hAnsi="Times New Roman"/>
          <w:color w:val="000000"/>
          <w:rtl w:val="0"/>
        </w:rPr>
        <w:t xml:space="preserve">4.9 Validity Threats</w:t>
      </w:r>
    </w:p>
    <w:p w:rsidR="00000000" w:rsidDel="00000000" w:rsidP="00000000" w:rsidRDefault="00000000" w:rsidRPr="00000000" w14:paraId="000000B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validity threats are built into the research design. First, policy announcements may be anticipated. CHIPS Act support events often followed negotiations, press reports, prior investment plans, and legislative debate. A weak or negative event-window reaction may reflect prior pricing rather than absence of support value.</w:t>
      </w:r>
    </w:p>
    <w:p w:rsidR="00000000" w:rsidDel="00000000" w:rsidP="00000000" w:rsidRDefault="00000000" w:rsidRPr="00000000" w14:paraId="000000B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semiconductor and AI cycle may confound market reactions. Semiconductor firms in 2023 and 2024 were affected by demand expectations, AI investment, capacity cycles, and earnings revisions. Sector adjustment using SMH reduces but does not eliminate this concern. Third, state support may signal weakness rather than opportunity. A firm receiving public support may be viewed as strategically important but commercially challenged. The design treats underperformance relative to sector benchmarks as theory-weakening for the event rather than explaining it away.</w:t>
      </w:r>
    </w:p>
    <w:p w:rsidR="00000000" w:rsidDel="00000000" w:rsidP="00000000" w:rsidRDefault="00000000" w:rsidRPr="00000000" w14:paraId="000000B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sample is small. The dissertation does not make large-N statistical claims. It presents a transparent, event-by-event test of the State Support mechanism in a most-likely sector. Fifth, beneficiary selection is unavoidable. Firms receiving support are not randomly assigned. The project therefore tests market interpretation of state selection and support rather than claiming random treatment effects.</w:t>
      </w:r>
    </w:p>
    <w:p w:rsidR="00000000" w:rsidDel="00000000" w:rsidP="00000000" w:rsidRDefault="00000000" w:rsidRPr="00000000" w14:paraId="000000B7">
      <w:pPr>
        <w:pStyle w:val="Heading4"/>
        <w:spacing w:before="200" w:lineRule="auto"/>
        <w:rPr>
          <w:rFonts w:ascii="Times New Roman" w:cs="Times New Roman" w:eastAsia="Times New Roman" w:hAnsi="Times New Roman"/>
          <w:color w:val="000000"/>
        </w:rPr>
      </w:pPr>
      <w:bookmarkStart w:colFirst="0" w:colLast="0" w:name="_72ngcv9dcxw3" w:id="39"/>
      <w:bookmarkEnd w:id="39"/>
      <w:r w:rsidDel="00000000" w:rsidR="00000000" w:rsidRPr="00000000">
        <w:rPr>
          <w:rFonts w:ascii="Times New Roman" w:cs="Times New Roman" w:eastAsia="Times New Roman" w:hAnsi="Times New Roman"/>
          <w:color w:val="000000"/>
          <w:rtl w:val="0"/>
        </w:rPr>
        <w:t xml:space="preserve">4.10 Replication Workflow</w:t>
      </w:r>
    </w:p>
    <w:p w:rsidR="00000000" w:rsidDel="00000000" w:rsidP="00000000" w:rsidRDefault="00000000" w:rsidRPr="00000000" w14:paraId="000000B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workflow is designed to make the empirical steps transparent. The core input files are </w:t>
      </w:r>
      <w:r w:rsidDel="00000000" w:rsidR="00000000" w:rsidRPr="00000000">
        <w:rPr>
          <w:rFonts w:ascii="Times New Roman" w:cs="Times New Roman" w:eastAsia="Times New Roman" w:hAnsi="Times New Roman"/>
          <w:sz w:val="24"/>
          <w:szCs w:val="24"/>
          <w:rtl w:val="0"/>
        </w:rPr>
        <w:t xml:space="preserve">data/events.csv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data/assets.csv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data/event_asset_links.csv</w:t>
      </w:r>
      <w:r w:rsidDel="00000000" w:rsidR="00000000" w:rsidRPr="00000000">
        <w:rPr>
          <w:rFonts w:ascii="Times New Roman" w:cs="Times New Roman" w:eastAsia="Times New Roman" w:hAnsi="Times New Roman"/>
          <w:sz w:val="24"/>
          <w:szCs w:val="24"/>
          <w:rtl w:val="0"/>
        </w:rPr>
        <w:t xml:space="preserve">. Local price files are stored under </w:t>
      </w:r>
      <w:r w:rsidDel="00000000" w:rsidR="00000000" w:rsidRPr="00000000">
        <w:rPr>
          <w:rFonts w:ascii="Times New Roman" w:cs="Times New Roman" w:eastAsia="Times New Roman" w:hAnsi="Times New Roman"/>
          <w:sz w:val="24"/>
          <w:szCs w:val="24"/>
          <w:rtl w:val="0"/>
        </w:rPr>
        <w:t xml:space="preserve">data/raw_prices/</w:t>
      </w:r>
      <w:r w:rsidDel="00000000" w:rsidR="00000000" w:rsidRPr="00000000">
        <w:rPr>
          <w:rFonts w:ascii="Times New Roman" w:cs="Times New Roman" w:eastAsia="Times New Roman" w:hAnsi="Times New Roman"/>
          <w:sz w:val="24"/>
          <w:szCs w:val="24"/>
          <w:rtl w:val="0"/>
        </w:rPr>
        <w:t xml:space="preserve"> when used. The event-study script is </w:t>
      </w:r>
      <w:r w:rsidDel="00000000" w:rsidR="00000000" w:rsidRPr="00000000">
        <w:rPr>
          <w:rFonts w:ascii="Times New Roman" w:cs="Times New Roman" w:eastAsia="Times New Roman" w:hAnsi="Times New Roman"/>
          <w:sz w:val="24"/>
          <w:szCs w:val="24"/>
          <w:rtl w:val="0"/>
        </w:rPr>
        <w:t xml:space="preserve">scripts/build_event_returns.py</w:t>
      </w:r>
      <w:r w:rsidDel="00000000" w:rsidR="00000000" w:rsidRPr="00000000">
        <w:rPr>
          <w:rFonts w:ascii="Times New Roman" w:cs="Times New Roman" w:eastAsia="Times New Roman" w:hAnsi="Times New Roman"/>
          <w:sz w:val="24"/>
          <w:szCs w:val="24"/>
          <w:rtl w:val="0"/>
        </w:rPr>
        <w:t xml:space="preserve">. The pipeline reads the frozen event, asset, and link files; reads local price files; constructs daily returns; calculates event-window outcomes; and writes output files. The expected outputs are </w:t>
      </w:r>
      <w:r w:rsidDel="00000000" w:rsidR="00000000" w:rsidRPr="00000000">
        <w:rPr>
          <w:rFonts w:ascii="Times New Roman" w:cs="Times New Roman" w:eastAsia="Times New Roman" w:hAnsi="Times New Roman"/>
          <w:sz w:val="24"/>
          <w:szCs w:val="24"/>
          <w:rtl w:val="0"/>
        </w:rPr>
        <w:t xml:space="preserve">data/market_returns.csv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data/event_firm_returns.csv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data/local_price_validation_report.md</w:t>
      </w:r>
      <w:r w:rsidDel="00000000" w:rsidR="00000000" w:rsidRPr="00000000">
        <w:rPr>
          <w:rFonts w:ascii="Times New Roman" w:cs="Times New Roman" w:eastAsia="Times New Roman" w:hAnsi="Times New Roman"/>
          <w:sz w:val="24"/>
          <w:szCs w:val="24"/>
          <w:rtl w:val="0"/>
        </w:rPr>
        <w:t xml:space="preserve">. The validation report records file coverage, missing or unusable files, output counts, event-window coverage, rows successfully calculated, rows still missing, and schema/key validation. This report is part of the evidence package because it documents whether the empirical results are based on complete and clean data inputs.</w:t>
      </w:r>
    </w:p>
    <w:p w:rsidR="00000000" w:rsidDel="00000000" w:rsidP="00000000" w:rsidRDefault="00000000" w:rsidRPr="00000000" w14:paraId="000000B9">
      <w:pPr>
        <w:pStyle w:val="Heading4"/>
        <w:spacing w:before="200" w:lineRule="auto"/>
        <w:rPr>
          <w:rFonts w:ascii="Times New Roman" w:cs="Times New Roman" w:eastAsia="Times New Roman" w:hAnsi="Times New Roman"/>
          <w:color w:val="000000"/>
        </w:rPr>
      </w:pPr>
      <w:bookmarkStart w:colFirst="0" w:colLast="0" w:name="_aihjshrwufmp" w:id="40"/>
      <w:bookmarkEnd w:id="40"/>
      <w:r w:rsidDel="00000000" w:rsidR="00000000" w:rsidRPr="00000000">
        <w:rPr>
          <w:rFonts w:ascii="Times New Roman" w:cs="Times New Roman" w:eastAsia="Times New Roman" w:hAnsi="Times New Roman"/>
          <w:color w:val="000000"/>
          <w:rtl w:val="0"/>
        </w:rPr>
        <w:t xml:space="preserve">4.11 Chapter Summary</w:t>
      </w:r>
    </w:p>
    <w:p w:rsidR="00000000" w:rsidDel="00000000" w:rsidP="00000000" w:rsidRDefault="00000000" w:rsidRPr="00000000" w14:paraId="000000B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has described the research design used to evaluate the frozen State Support mechanism. The design uses a narrow semiconductor event-study framework, freezes event coding and event-asset links before interpretation, prioritises sector-adjusted short-window returns, and classifies evidence according to a pre-data commitment. The design is intentionally modest. It does not estimate the full causal effect of geopolitical competition. It does not claim that state support guarantees long-term firm value. It tests whether named state-support announcements for strategically important semiconductor firms produce short-window market reactions consistent with the frozen theoretical mechanism.</w:t>
      </w:r>
    </w:p>
    <w:p w:rsidR="00000000" w:rsidDel="00000000" w:rsidP="00000000" w:rsidRDefault="00000000" w:rsidRPr="00000000" w14:paraId="000000BB">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3"/>
        <w:spacing w:after="0" w:before="0" w:lineRule="auto"/>
        <w:rPr>
          <w:rFonts w:ascii="Times New Roman" w:cs="Times New Roman" w:eastAsia="Times New Roman" w:hAnsi="Times New Roman"/>
          <w:color w:val="000000"/>
          <w:sz w:val="24"/>
          <w:szCs w:val="24"/>
        </w:rPr>
      </w:pPr>
      <w:bookmarkStart w:colFirst="0" w:colLast="0" w:name="_fwwbx3d60xa" w:id="41"/>
      <w:bookmarkEnd w:id="41"/>
      <w:r w:rsidDel="00000000" w:rsidR="00000000" w:rsidRPr="00000000">
        <w:rPr>
          <w:rFonts w:ascii="Times New Roman" w:cs="Times New Roman" w:eastAsia="Times New Roman" w:hAnsi="Times New Roman"/>
          <w:color w:val="000000"/>
          <w:sz w:val="24"/>
          <w:szCs w:val="24"/>
          <w:rtl w:val="0"/>
        </w:rPr>
        <w:t xml:space="preserve">Chapter 5. Results</w:t>
      </w:r>
    </w:p>
    <w:p w:rsidR="00000000" w:rsidDel="00000000" w:rsidP="00000000" w:rsidRDefault="00000000" w:rsidRPr="00000000" w14:paraId="000000BD">
      <w:pPr>
        <w:pStyle w:val="Heading4"/>
        <w:spacing w:after="0" w:before="0" w:lineRule="auto"/>
        <w:rPr>
          <w:rFonts w:ascii="Times New Roman" w:cs="Times New Roman" w:eastAsia="Times New Roman" w:hAnsi="Times New Roman"/>
          <w:color w:val="000000"/>
        </w:rPr>
      </w:pPr>
      <w:bookmarkStart w:colFirst="0" w:colLast="0" w:name="_nue680klfzo8" w:id="42"/>
      <w:bookmarkEnd w:id="42"/>
      <w:r w:rsidDel="00000000" w:rsidR="00000000" w:rsidRPr="00000000">
        <w:rPr>
          <w:rFonts w:ascii="Times New Roman" w:cs="Times New Roman" w:eastAsia="Times New Roman" w:hAnsi="Times New Roman"/>
          <w:color w:val="000000"/>
          <w:rtl w:val="0"/>
        </w:rPr>
        <w:t xml:space="preserve">5.1 Data Availability and Validation</w:t>
      </w:r>
    </w:p>
    <w:p w:rsidR="00000000" w:rsidDel="00000000" w:rsidP="00000000" w:rsidRDefault="00000000" w:rsidRPr="00000000" w14:paraId="000000BE">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reports the empirical results from the locked evidence package. The analysis uses the validated event-study outputs for the three primary event-firm observations and the dissertation-ready descriptive exhibits prepared from the existing validated results. No new event coding, sample expansion, or additional empirical analysis is introduced in this chapter.</w:t>
      </w:r>
    </w:p>
    <w:p w:rsidR="00000000" w:rsidDel="00000000" w:rsidP="00000000" w:rsidRDefault="00000000" w:rsidRPr="00000000" w14:paraId="000000BF">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validated output file is </w:t>
      </w:r>
      <w:r w:rsidDel="00000000" w:rsidR="00000000" w:rsidRPr="00000000">
        <w:rPr>
          <w:rFonts w:ascii="Times New Roman" w:cs="Times New Roman" w:eastAsia="Times New Roman" w:hAnsi="Times New Roman"/>
          <w:sz w:val="24"/>
          <w:szCs w:val="24"/>
          <w:rtl w:val="0"/>
        </w:rPr>
        <w:t xml:space="preserve">data/event_firm_returns.csv</w:t>
      </w:r>
      <w:r w:rsidDel="00000000" w:rsidR="00000000" w:rsidRPr="00000000">
        <w:rPr>
          <w:rFonts w:ascii="Times New Roman" w:cs="Times New Roman" w:eastAsia="Times New Roman" w:hAnsi="Times New Roman"/>
          <w:sz w:val="24"/>
          <w:szCs w:val="24"/>
          <w:rtl w:val="0"/>
        </w:rPr>
        <w:t xml:space="preserve">. The validation artifact is </w:t>
      </w:r>
      <w:r w:rsidDel="00000000" w:rsidR="00000000" w:rsidRPr="00000000">
        <w:rPr>
          <w:rFonts w:ascii="Times New Roman" w:cs="Times New Roman" w:eastAsia="Times New Roman" w:hAnsi="Times New Roman"/>
          <w:sz w:val="24"/>
          <w:szCs w:val="24"/>
          <w:rtl w:val="0"/>
        </w:rPr>
        <w:t xml:space="preserve">data/local_price_validation_report.md</w:t>
      </w:r>
      <w:r w:rsidDel="00000000" w:rsidR="00000000" w:rsidRPr="00000000">
        <w:rPr>
          <w:rFonts w:ascii="Times New Roman" w:cs="Times New Roman" w:eastAsia="Times New Roman" w:hAnsi="Times New Roman"/>
          <w:sz w:val="24"/>
          <w:szCs w:val="24"/>
          <w:rtl w:val="0"/>
        </w:rPr>
        <w:t xml:space="preserve">. The local validation report confirms that the event-study pipeline was run for the three focal primary event-firm rows: E009 / INTC, E010 / TSM, and E012 / MU. These observations correspond to the Intel CHIPS Act preliminary terms announcement, the TSMC Arizona CHIPS Act preliminary terms announcement, and the Micron CHIPS Act preliminary agreement announcement.</w:t>
      </w:r>
    </w:p>
    <w:p w:rsidR="00000000" w:rsidDel="00000000" w:rsidP="00000000" w:rsidRDefault="00000000" w:rsidRPr="00000000" w14:paraId="000000C0">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report records that all required local price files were available for the primary event-study run. The required focal securities were INTC, TSM, and MU. The required benchmark series were SPY, QQQ, and SMH. Each of these six price files contained 84 rows. No required local price files were missing or unusable. The report also records that </w:t>
      </w:r>
      <w:r w:rsidDel="00000000" w:rsidR="00000000" w:rsidRPr="00000000">
        <w:rPr>
          <w:rFonts w:ascii="Times New Roman" w:cs="Times New Roman" w:eastAsia="Times New Roman" w:hAnsi="Times New Roman"/>
          <w:sz w:val="24"/>
          <w:szCs w:val="24"/>
          <w:rtl w:val="0"/>
        </w:rPr>
        <w:t xml:space="preserve">market_returns.csv</w:t>
      </w:r>
      <w:r w:rsidDel="00000000" w:rsidR="00000000" w:rsidRPr="00000000">
        <w:rPr>
          <w:rFonts w:ascii="Times New Roman" w:cs="Times New Roman" w:eastAsia="Times New Roman" w:hAnsi="Times New Roman"/>
          <w:sz w:val="24"/>
          <w:szCs w:val="24"/>
          <w:rtl w:val="0"/>
        </w:rPr>
        <w:t xml:space="preserve"> contained 504 rows and that </w:t>
      </w:r>
      <w:r w:rsidDel="00000000" w:rsidR="00000000" w:rsidRPr="00000000">
        <w:rPr>
          <w:rFonts w:ascii="Times New Roman" w:cs="Times New Roman" w:eastAsia="Times New Roman" w:hAnsi="Times New Roman"/>
          <w:sz w:val="24"/>
          <w:szCs w:val="24"/>
          <w:rtl w:val="0"/>
        </w:rPr>
        <w:t xml:space="preserve">event_firm_returns.csv</w:t>
      </w:r>
      <w:r w:rsidDel="00000000" w:rsidR="00000000" w:rsidRPr="00000000">
        <w:rPr>
          <w:rFonts w:ascii="Times New Roman" w:cs="Times New Roman" w:eastAsia="Times New Roman" w:hAnsi="Times New Roman"/>
          <w:sz w:val="24"/>
          <w:szCs w:val="24"/>
          <w:rtl w:val="0"/>
        </w:rPr>
        <w:t xml:space="preserve"> contained three event-firm rows.</w:t>
      </w:r>
    </w:p>
    <w:p w:rsidR="00000000" w:rsidDel="00000000" w:rsidP="00000000" w:rsidRDefault="00000000" w:rsidRPr="00000000" w14:paraId="000000C1">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primary event-firm rows were successfully calculated. The validation report states that all requested event windows were covered and that no rows remained missing for the primary calculated outcome. Each of the three rows is marked with a clean data-quality flag in </w:t>
      </w:r>
      <w:r w:rsidDel="00000000" w:rsidR="00000000" w:rsidRPr="00000000">
        <w:rPr>
          <w:rFonts w:ascii="Times New Roman" w:cs="Times New Roman" w:eastAsia="Times New Roman" w:hAnsi="Times New Roman"/>
          <w:sz w:val="24"/>
          <w:szCs w:val="24"/>
          <w:rtl w:val="0"/>
        </w:rPr>
        <w:t xml:space="preserve">data/event_firm_returns.csv</w:t>
      </w:r>
      <w:r w:rsidDel="00000000" w:rsidR="00000000" w:rsidRPr="00000000">
        <w:rPr>
          <w:rFonts w:ascii="Times New Roman" w:cs="Times New Roman" w:eastAsia="Times New Roman" w:hAnsi="Times New Roman"/>
          <w:sz w:val="24"/>
          <w:szCs w:val="24"/>
          <w:rtl w:val="0"/>
        </w:rPr>
        <w:t xml:space="preserve">. The event-window coverage field for each row states that all requested windows were covered.</w:t>
      </w:r>
    </w:p>
    <w:p w:rsidR="00000000" w:rsidDel="00000000" w:rsidP="00000000" w:rsidRDefault="00000000" w:rsidRPr="00000000" w14:paraId="000000C2">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trading dates used by the pipeline match the event-date alignment rule in the locked workflow. E009 / INTC uses 2024-03-20 as the event trading date. E010 / TSM uses 2024-04-08 as the event trading date. E012 / MU uses 2024-04-25 as the event trading date. In each case, the calculation notes state that the event trading date is the first trading day on or after the event date.</w:t>
      </w:r>
    </w:p>
    <w:p w:rsidR="00000000" w:rsidDel="00000000" w:rsidP="00000000" w:rsidRDefault="00000000" w:rsidRPr="00000000" w14:paraId="000000C3">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evidence therefore establishes that the three primary event-firm observations have complete local price coverage, complete benchmark availability, complete requested event-window coverage, and clean pipeline status. The results reported below use these validated outputs.</w:t>
      </w:r>
    </w:p>
    <w:p w:rsidR="00000000" w:rsidDel="00000000" w:rsidP="00000000" w:rsidRDefault="00000000" w:rsidRPr="00000000" w14:paraId="000000C4">
      <w:pPr>
        <w:pStyle w:val="Heading4"/>
        <w:spacing w:after="0" w:before="200" w:lineRule="auto"/>
        <w:rPr>
          <w:rFonts w:ascii="Times New Roman" w:cs="Times New Roman" w:eastAsia="Times New Roman" w:hAnsi="Times New Roman"/>
          <w:color w:val="000000"/>
        </w:rPr>
      </w:pPr>
      <w:bookmarkStart w:colFirst="0" w:colLast="0" w:name="_krpzcxb1aty3" w:id="43"/>
      <w:bookmarkEnd w:id="43"/>
      <w:r w:rsidDel="00000000" w:rsidR="00000000" w:rsidRPr="00000000">
        <w:rPr>
          <w:rFonts w:ascii="Times New Roman" w:cs="Times New Roman" w:eastAsia="Times New Roman" w:hAnsi="Times New Roman"/>
          <w:color w:val="000000"/>
          <w:rtl w:val="0"/>
        </w:rPr>
        <w:t xml:space="preserve">5.2 Primary Outcome Results</w:t>
      </w:r>
    </w:p>
    <w:p w:rsidR="00000000" w:rsidDel="00000000" w:rsidP="00000000" w:rsidRDefault="00000000" w:rsidRPr="00000000" w14:paraId="000000C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pre-committed primary outcome for the dissertation is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the sector-adjusted cumulative abnormal return over the [-1,+1] event window. This outcome is calculated relative to the semiconductor-sector benchmark. The primary outcome is distinct from the descriptive event-day and wider-window return measures reported later in this chapter.</w:t>
      </w:r>
    </w:p>
    <w:p w:rsidR="00000000" w:rsidDel="00000000" w:rsidP="00000000" w:rsidRDefault="00000000" w:rsidRPr="00000000" w14:paraId="000000C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pre-data evidence classification rule applied to the primary outcome is as follows. A result is classified as supportive if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is greater than +0.25 percentage points. A result is classified as null if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falls between -0.25 percentage points and +0.25 percentage points. A result is classified as theory-weakening if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is below -0.25 percentage points. The primary outcome results are shown in Table 5.1.</w:t>
      </w:r>
      <w:r w:rsidDel="00000000" w:rsidR="00000000" w:rsidRPr="00000000">
        <w:rPr>
          <w:rFonts w:ascii="Times New Roman" w:cs="Times New Roman" w:eastAsia="Times New Roman" w:hAnsi="Times New Roman"/>
          <w:sz w:val="24"/>
          <w:szCs w:val="24"/>
        </w:rPr>
        <w:drawing>
          <wp:inline distB="114300" distT="114300" distL="114300" distR="114300">
            <wp:extent cx="5943600" cy="18034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E009 / INTC has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-4.3183%. Under the pre-data classification rule, this value is below -0.25% points and is classified as theory-weakening. E010 / TSM has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2.1512%. Under the pre-data classification rule, this value is greater than +0.25% points and is classified as supportive. E012 / MU has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-2.5406%. Under the pre-data classification rule, this value is below -0.25% points and is classified as theory-weakening.</w:t>
      </w:r>
    </w:p>
    <w:p w:rsidR="00000000" w:rsidDel="00000000" w:rsidP="00000000" w:rsidRDefault="00000000" w:rsidRPr="00000000" w14:paraId="000000C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3 primary cases, one observation is classified as supportive, 0 observations are classified as null, and 2 observations are classified as theory-weakening. These classifications are based only on the pre-committed primary outcome and the locked classification thresholds.</w:t>
      </w:r>
    </w:p>
    <w:p w:rsidR="00000000" w:rsidDel="00000000" w:rsidP="00000000" w:rsidRDefault="00000000" w:rsidRPr="00000000" w14:paraId="000000C9">
      <w:pPr>
        <w:pStyle w:val="Heading4"/>
        <w:spacing w:after="0" w:lineRule="auto"/>
        <w:rPr>
          <w:rFonts w:ascii="Times New Roman" w:cs="Times New Roman" w:eastAsia="Times New Roman" w:hAnsi="Times New Roman"/>
          <w:color w:val="000000"/>
        </w:rPr>
      </w:pPr>
      <w:bookmarkStart w:colFirst="0" w:colLast="0" w:name="_gjkji37oddyh" w:id="44"/>
      <w:bookmarkEnd w:id="44"/>
      <w:r w:rsidDel="00000000" w:rsidR="00000000" w:rsidRPr="00000000">
        <w:rPr>
          <w:rFonts w:ascii="Times New Roman" w:cs="Times New Roman" w:eastAsia="Times New Roman" w:hAnsi="Times New Roman"/>
          <w:color w:val="000000"/>
          <w:rtl w:val="0"/>
        </w:rPr>
        <w:t xml:space="preserve">5.3 Primary Case Descriptive Returns</w:t>
      </w:r>
    </w:p>
    <w:p w:rsidR="00000000" w:rsidDel="00000000" w:rsidP="00000000" w:rsidRDefault="00000000" w:rsidRPr="00000000" w14:paraId="000000C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reports descriptive return measures for the three primary cases. These measures are not the pre-committed primary outcome. They are included to summarise event-day sector-adjusted abnormal returns and wider-window CAR[-7,+7] values for the same 3 focal event-firm observations.</w:t>
      </w:r>
    </w:p>
    <w:p w:rsidR="00000000" w:rsidDel="00000000" w:rsidP="00000000" w:rsidRDefault="00000000" w:rsidRPr="00000000" w14:paraId="000000C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return measures are shown in Table 5.2. Day0_AR refers to the sector-adjusted abnormal return on the event trading day. CAR[-7,+7] refers to the sector-adjusted cumulative abnormal return over the [-7,+7] event window. The wider-window measure is descriptive and is not used for the primary evidence classification reported in Section 5.2.</w:t>
      </w:r>
    </w:p>
    <w:p w:rsidR="00000000" w:rsidDel="00000000" w:rsidP="00000000" w:rsidRDefault="00000000" w:rsidRPr="00000000" w14:paraId="000000CC">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993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E009 / INTC, the event-day sector-adjusted abnormal return is -1.2456%. The descriptive CAR[-7,+7] is -0.0288%. For E010 / TSM, the event-day sector-adjusted abnormal return is 0.8229%. The descriptive CAR[-7,+7] is 5.9035%. For E012 / MU, the event-day sector-adjusted abnormal return is -2.1785%. The descriptive CAR[-7,+7] is -3.2454%.</w:t>
      </w:r>
    </w:p>
    <w:p w:rsidR="00000000" w:rsidDel="00000000" w:rsidP="00000000" w:rsidRDefault="00000000" w:rsidRPr="00000000" w14:paraId="000000C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measures show that E010 / TSM has a positive event-day abnormal return and a positive wider-window CAR. E009 / INTC has a negative event-day abnormal return and a near-zero negative wider-window CAR. E012 / MU has a negative event-day abnormal return and a negative wider-window CAR. These descriptive values supplement, but do not replace, the primary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classifications reported above.</w:t>
      </w:r>
    </w:p>
    <w:p w:rsidR="00000000" w:rsidDel="00000000" w:rsidP="00000000" w:rsidRDefault="00000000" w:rsidRPr="00000000" w14:paraId="000000CF">
      <w:pPr>
        <w:pStyle w:val="Heading4"/>
        <w:spacing w:after="0" w:lineRule="auto"/>
        <w:rPr>
          <w:rFonts w:ascii="Times New Roman" w:cs="Times New Roman" w:eastAsia="Times New Roman" w:hAnsi="Times New Roman"/>
          <w:color w:val="000000"/>
        </w:rPr>
      </w:pPr>
      <w:bookmarkStart w:colFirst="0" w:colLast="0" w:name="_hqnk12mqkyh7" w:id="45"/>
      <w:bookmarkEnd w:id="45"/>
      <w:r w:rsidDel="00000000" w:rsidR="00000000" w:rsidRPr="00000000">
        <w:rPr>
          <w:rFonts w:ascii="Times New Roman" w:cs="Times New Roman" w:eastAsia="Times New Roman" w:hAnsi="Times New Roman"/>
          <w:color w:val="000000"/>
          <w:rtl w:val="0"/>
        </w:rPr>
        <w:t xml:space="preserve">5.4 Support Event Descriptive Summary</w:t>
      </w:r>
    </w:p>
    <w:p w:rsidR="00000000" w:rsidDel="00000000" w:rsidP="00000000" w:rsidRDefault="00000000" w:rsidRPr="00000000" w14:paraId="000000D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reports descriptive statistics for the validated support-event summary. This broader support-event summary is distinct from the three-row primary outcome test. It includes twelve firm-level observations from the support/subsidy_award event audit. The results in this section are descriptive and are not used to alter the primary outcome classifications. The summary statistics are shown in Table 5.3.</w:t>
      </w:r>
    </w:p>
    <w:p w:rsidR="00000000" w:rsidDel="00000000" w:rsidP="00000000" w:rsidRDefault="00000000" w:rsidRPr="00000000" w14:paraId="000000D1">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95713" cy="250355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95713" cy="250355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support-event descriptive sample contains twelve observations. The mean CAR is -1.3873%. The median CAR is 0.0847%. The standard deviation is 4.3073%. The positive share is 50.0000%. This means that half of the observations in the descriptive support-event sample have positive CAR values and half do not. The maximum CAR in the descriptive support-event sample is 5.9035%. The minimum CAR is -9.9906%.</w:t>
      </w:r>
    </w:p>
    <w:p w:rsidR="00000000" w:rsidDel="00000000" w:rsidP="00000000" w:rsidRDefault="00000000" w:rsidRPr="00000000" w14:paraId="000000D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values summarise the distribution of the broader support-event descriptive sample. They do not change the classification of the three primary cases under the pre-committed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rule.</w:t>
      </w:r>
    </w:p>
    <w:p w:rsidR="00000000" w:rsidDel="00000000" w:rsidP="00000000" w:rsidRDefault="00000000" w:rsidRPr="00000000" w14:paraId="000000D4">
      <w:pPr>
        <w:pStyle w:val="Heading4"/>
        <w:spacing w:after="0" w:lineRule="auto"/>
        <w:rPr>
          <w:rFonts w:ascii="Times New Roman" w:cs="Times New Roman" w:eastAsia="Times New Roman" w:hAnsi="Times New Roman"/>
          <w:color w:val="000000"/>
        </w:rPr>
      </w:pPr>
      <w:bookmarkStart w:colFirst="0" w:colLast="0" w:name="_m5pta2m6z3v1" w:id="46"/>
      <w:bookmarkEnd w:id="46"/>
      <w:r w:rsidDel="00000000" w:rsidR="00000000" w:rsidRPr="00000000">
        <w:rPr>
          <w:rFonts w:ascii="Times New Roman" w:cs="Times New Roman" w:eastAsia="Times New Roman" w:hAnsi="Times New Roman"/>
          <w:color w:val="000000"/>
          <w:rtl w:val="0"/>
        </w:rPr>
        <w:t xml:space="preserve">5.5 Recipient vs Non-Recipient Comparison</w:t>
      </w:r>
    </w:p>
    <w:p w:rsidR="00000000" w:rsidDel="00000000" w:rsidP="00000000" w:rsidRDefault="00000000" w:rsidRPr="00000000" w14:paraId="000000D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reports the recipient versus non-recipient comparison from the locked evidence package. The comparison is descriptive. It summarises CAR values by whether the linked firm observation is classified as a recipient or non-recipient in the validated support-event audit.Table 5.4 reports the recipient and non-recipient summary values.</w:t>
      </w:r>
    </w:p>
    <w:p w:rsidR="00000000" w:rsidDel="00000000" w:rsidP="00000000" w:rsidRDefault="00000000" w:rsidRPr="00000000" w14:paraId="000000D6">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986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group contains five observations. The recipient mean CAR is -0.3186%. The recipient median CAR is -0.0288%. The recipient's positive share is 40.0000%. The non-recipient group contains 7 observations. The non-recipient mean CAR is -2.1506%. The non-recipient median CAR is 0.1983%. The non-recipient positive share is 57.1429%. </w:t>
      </w:r>
    </w:p>
    <w:p w:rsidR="00000000" w:rsidDel="00000000" w:rsidP="00000000" w:rsidRDefault="00000000" w:rsidRPr="00000000" w14:paraId="000000D8">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 presents the same recipient versus non-recipient comparison visually. The figure compares mean CAR[-7,+7] values for the 2 groups. The recipient mean is -0.3186%. The non-recipient mean is -2.1506%. Figure 5.1. Recipient vs Non-Recipient CAR Comparison [Insert </w:t>
      </w:r>
      <w:r w:rsidDel="00000000" w:rsidR="00000000" w:rsidRPr="00000000">
        <w:rPr>
          <w:rFonts w:ascii="Times New Roman" w:cs="Times New Roman" w:eastAsia="Times New Roman" w:hAnsi="Times New Roman"/>
          <w:sz w:val="24"/>
          <w:szCs w:val="24"/>
          <w:rtl w:val="0"/>
        </w:rPr>
        <w:t xml:space="preserve">dissertation_results/figures/figure1_recipient_vs_nonrecipient_car.svg</w:t>
      </w:r>
      <w:r w:rsidDel="00000000" w:rsidR="00000000" w:rsidRPr="00000000">
        <w:rPr>
          <w:rFonts w:ascii="Times New Roman" w:cs="Times New Roman" w:eastAsia="Times New Roman" w:hAnsi="Times New Roman"/>
          <w:sz w:val="24"/>
          <w:szCs w:val="24"/>
          <w:rtl w:val="0"/>
        </w:rPr>
        <w:t xml:space="preserve"> here.] The table and figure report group-level descriptive summaries only. They are not used as the primary evidence classification for the 3 focal event-firm observations.</w:t>
      </w:r>
    </w:p>
    <w:p w:rsidR="00000000" w:rsidDel="00000000" w:rsidP="00000000" w:rsidRDefault="00000000" w:rsidRPr="00000000" w14:paraId="000000D9">
      <w:pPr>
        <w:pStyle w:val="Heading4"/>
        <w:spacing w:after="0" w:lineRule="auto"/>
        <w:rPr>
          <w:rFonts w:ascii="Times New Roman" w:cs="Times New Roman" w:eastAsia="Times New Roman" w:hAnsi="Times New Roman"/>
          <w:color w:val="000000"/>
        </w:rPr>
      </w:pPr>
      <w:bookmarkStart w:colFirst="0" w:colLast="0" w:name="_6sbmxfimf69d" w:id="47"/>
      <w:bookmarkEnd w:id="47"/>
      <w:r w:rsidDel="00000000" w:rsidR="00000000" w:rsidRPr="00000000">
        <w:rPr>
          <w:rFonts w:ascii="Times New Roman" w:cs="Times New Roman" w:eastAsia="Times New Roman" w:hAnsi="Times New Roman"/>
          <w:color w:val="000000"/>
          <w:rtl w:val="0"/>
        </w:rPr>
        <w:t xml:space="preserve">5.6 Summary of Findings</w:t>
      </w:r>
    </w:p>
    <w:p w:rsidR="00000000" w:rsidDel="00000000" w:rsidP="00000000" w:rsidRDefault="00000000" w:rsidRPr="00000000" w14:paraId="000000D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reported the locked empirical results for the dissertation evidence package. The data availability and validation evidence shows that the three primary event-firm observations have complete required local price inputs, complete benchmark coverage, complete event-window coverage, and clean validation status.</w:t>
      </w:r>
    </w:p>
    <w:p w:rsidR="00000000" w:rsidDel="00000000" w:rsidP="00000000" w:rsidRDefault="00000000" w:rsidRPr="00000000" w14:paraId="000000D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outcome analysis used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the sector-adjusted CAR[-1,+1] measure. Under the pre-data classification rule, the three primary cases are classified as follows: E009 / INTC is theory-weakening, E010 / TSM is supportive, and E012 / MU is theory-weakening. The count across the three primary cases is one supportive observation, 0 null observations, and 2 theory-weakening observations. </w:t>
      </w:r>
    </w:p>
    <w:p w:rsidR="00000000" w:rsidDel="00000000" w:rsidP="00000000" w:rsidRDefault="00000000" w:rsidRPr="00000000" w14:paraId="000000D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primary-case returns show the event-day abnormal returns and wider-window CAR[-7,+7] values for the same three primary cases. E009 / INTC has a Day0_AR of -1.2456% and a CAR[-7,+7] of -0.0288%. E010 / TSM has a Day0_AR of 0.8229% and a CAR[-7,+7] of 5.9035%. E012 / MU has a Day0_AR of -2.1785% and a CAR[-7,+7] of -3.2454%.</w:t>
      </w:r>
    </w:p>
    <w:p w:rsidR="00000000" w:rsidDel="00000000" w:rsidP="00000000" w:rsidRDefault="00000000" w:rsidRPr="00000000" w14:paraId="000000D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support-event descriptive summary contains 12 observations. The mean CAR is -1.3873%, the median CAR is 0.0847%, and the positive share is 50.0000%. The maximum CAR is 5.9035% and the minimum CAR is -9.990%.</w:t>
      </w:r>
    </w:p>
    <w:p w:rsidR="00000000" w:rsidDel="00000000" w:rsidP="00000000" w:rsidRDefault="00000000" w:rsidRPr="00000000" w14:paraId="000000D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versus non-recipient comparison reports 5 recipient observations and 7 non-recipient observations. Recipient observations have a mean CAR of -0.3186%, a median CAR of -0.0288%, and a positive share of 40.0000 %. Non-recipient observations have a mean CAR of -2.1506%, a median CAR of 0.1983%, and a positive share of 57.1429%.</w:t>
      </w:r>
    </w:p>
    <w:p w:rsidR="00000000" w:rsidDel="00000000" w:rsidP="00000000" w:rsidRDefault="00000000" w:rsidRPr="00000000" w14:paraId="000000D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results in this chapter are reported from the locked evidence package. The primary outcome classifications are based on the pre-committed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rule. The event-day, wider-window, support-event summary, and recipient comparison results are descriptive exhibits and are not substitutes for the primary outcome classification.</w:t>
      </w:r>
    </w:p>
    <w:p w:rsidR="00000000" w:rsidDel="00000000" w:rsidP="00000000" w:rsidRDefault="00000000" w:rsidRPr="00000000" w14:paraId="000000E0">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tq9d93r02jkn" w:id="48"/>
      <w:bookmarkEnd w:id="48"/>
      <w:r w:rsidDel="00000000" w:rsidR="00000000" w:rsidRPr="00000000">
        <w:rPr>
          <w:rFonts w:ascii="Times New Roman" w:cs="Times New Roman" w:eastAsia="Times New Roman" w:hAnsi="Times New Roman"/>
          <w:color w:val="000000"/>
          <w:sz w:val="24"/>
          <w:szCs w:val="24"/>
          <w:rtl w:val="0"/>
        </w:rPr>
        <w:t xml:space="preserve">Chapter 6. Discussion and Conclusion</w:t>
      </w:r>
    </w:p>
    <w:p w:rsidR="00000000" w:rsidDel="00000000" w:rsidP="00000000" w:rsidRDefault="00000000" w:rsidRPr="00000000" w14:paraId="000000E2">
      <w:pPr>
        <w:pStyle w:val="Heading4"/>
        <w:keepNext w:val="0"/>
        <w:keepLines w:val="0"/>
        <w:spacing w:after="0" w:before="200" w:lineRule="auto"/>
        <w:rPr>
          <w:rFonts w:ascii="Times New Roman" w:cs="Times New Roman" w:eastAsia="Times New Roman" w:hAnsi="Times New Roman"/>
          <w:color w:val="000000"/>
        </w:rPr>
      </w:pPr>
      <w:bookmarkStart w:colFirst="0" w:colLast="0" w:name="_947j9uopt8wg" w:id="49"/>
      <w:bookmarkEnd w:id="49"/>
      <w:r w:rsidDel="00000000" w:rsidR="00000000" w:rsidRPr="00000000">
        <w:rPr>
          <w:rFonts w:ascii="Times New Roman" w:cs="Times New Roman" w:eastAsia="Times New Roman" w:hAnsi="Times New Roman"/>
          <w:color w:val="000000"/>
          <w:rtl w:val="0"/>
        </w:rPr>
        <w:t xml:space="preserve">6.1 Main Findings</w:t>
      </w:r>
    </w:p>
    <w:p w:rsidR="00000000" w:rsidDel="00000000" w:rsidP="00000000" w:rsidRDefault="00000000" w:rsidRPr="00000000" w14:paraId="000000E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dissertation examined whether geopolitical competition can generate positive market reactions for selected strategic firms when states convert strategic importance into credible support. The empirical analysis was designed as a narrow market-expectations test. It did not attempt to estimate the full causal effect of geopolitical competition, nor did it test whether state support produces long-term economic success. The purpose was to evaluate whether short-window market reactions around named semiconductor support announcements are consistent with the State Support mechanism developed in Chapter 3 and operationalised in Chapter 4.</w:t>
      </w:r>
    </w:p>
    <w:p w:rsidR="00000000" w:rsidDel="00000000" w:rsidP="00000000" w:rsidRDefault="00000000" w:rsidRPr="00000000" w14:paraId="000000E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empirical test used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the sector-adjusted cumulative abnormal return over the [-1,+1] event window. This outcome was pre-committed as the primary evidence variable because it compares the named beneficiary against the semiconductor-sector benchmark. The classification rule was also fixed before interpretation: observations above +0.25 percentage points are classified as supportive, observations between -0.25 and +0.25 percentage points are classified as null, and observations below -0.25 percentage points are classified as theory-weakening.</w:t>
      </w:r>
    </w:p>
    <w:p w:rsidR="00000000" w:rsidDel="00000000" w:rsidP="00000000" w:rsidRDefault="00000000" w:rsidRPr="00000000" w14:paraId="000000E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primary cases produced mixed results. E009 / INTC recorded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-4.3183 percent and is classified as theory-weakening. E010 / TSM recorded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2.1512 percent and is classified as supportive. E012 / MU recorded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-2.5406 percent and is classified as theory-weakening. Across the three primary cases, there is one supportive observation, zero null observations, and two theory-weakening observations.</w:t>
      </w:r>
    </w:p>
    <w:p w:rsidR="00000000" w:rsidDel="00000000" w:rsidP="00000000" w:rsidRDefault="00000000" w:rsidRPr="00000000" w14:paraId="000000E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primary-case returns show a similar pattern of variation across firms and events. E009 / INTC had a Day0_AR of -1.2456 percent and a CAR[-7,+7] of -0.0288 percent. E010 / TSM had a Day0_AR of 0.8229 percent and a CAR[-7,+7] of 5.9035 percent. E012 / MU had a Day0_AR of -2.1785 percent and a CAR[-7,+7] of -3.2454 percent. These descriptive measures provide additional context, but they do not replace the primary classification based on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descriptive support-event summary also shows mixed evidence. Across twelve support-event observations, the mean CAR was -1.3873 percent, the median CAR was 0.0847 percent, and the positive share was 50.0000 percent. The maximum CAR was 5.9035 percent, and the minimum CAR was -9.9906 percent. These descriptive statistics do not show uniformly positive market reactions across the broader support-event sample.</w:t>
      </w:r>
    </w:p>
    <w:p w:rsidR="00000000" w:rsidDel="00000000" w:rsidP="00000000" w:rsidRDefault="00000000" w:rsidRPr="00000000" w14:paraId="000000E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versus non-recipient comparison is also mixed. Recipient observations had a mean CAR of -0.3186 percent, a median CAR of -0.0288 percent, and a positive share of 40.0000 percent. Non-recipient observations had a mean CAR of -2.1506 percent, a median CAR of 0.1983 percent, and a positive share of 57.1429 percent. These descriptive results do not support a claim that recipient firms systematically outperform non-recipient firms.</w:t>
      </w:r>
    </w:p>
    <w:p w:rsidR="00000000" w:rsidDel="00000000" w:rsidP="00000000" w:rsidRDefault="00000000" w:rsidRPr="00000000" w14:paraId="000000E9">
      <w:pPr>
        <w:pStyle w:val="Heading4"/>
        <w:keepNext w:val="0"/>
        <w:keepLines w:val="0"/>
        <w:spacing w:after="0" w:lineRule="auto"/>
        <w:rPr>
          <w:rFonts w:ascii="Times New Roman" w:cs="Times New Roman" w:eastAsia="Times New Roman" w:hAnsi="Times New Roman"/>
          <w:color w:val="000000"/>
        </w:rPr>
      </w:pPr>
      <w:bookmarkStart w:colFirst="0" w:colLast="0" w:name="_1egfr6a1na20" w:id="50"/>
      <w:bookmarkEnd w:id="50"/>
      <w:r w:rsidDel="00000000" w:rsidR="00000000" w:rsidRPr="00000000">
        <w:rPr>
          <w:rFonts w:ascii="Times New Roman" w:cs="Times New Roman" w:eastAsia="Times New Roman" w:hAnsi="Times New Roman"/>
          <w:color w:val="000000"/>
          <w:rtl w:val="0"/>
        </w:rPr>
        <w:t xml:space="preserve">6.2 Interpretation of Findings</w:t>
      </w:r>
    </w:p>
    <w:p w:rsidR="00000000" w:rsidDel="00000000" w:rsidP="00000000" w:rsidRDefault="00000000" w:rsidRPr="00000000" w14:paraId="000000E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should be interpreted within the pre-committed evidence rules. The main empirical finding is not that state support announcements consistently generate positive market reactions. The main finding is that reactions are heterogeneous across the primary cases and across the broader descriptive support-event sample.</w:t>
      </w:r>
    </w:p>
    <w:p w:rsidR="00000000" w:rsidDel="00000000" w:rsidP="00000000" w:rsidRDefault="00000000" w:rsidRPr="00000000" w14:paraId="000000E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E010 / TSM is the only primary case classified as supportive under the pre-committed rule. Its sector-adjusted CAR[-1,+1] is positive and exceeds the +0.25 percentage point threshold. This case is therefore consistent with the State Support mechanism as operationalised in the research design.</w:t>
      </w:r>
    </w:p>
    <w:p w:rsidR="00000000" w:rsidDel="00000000" w:rsidP="00000000" w:rsidRDefault="00000000" w:rsidRPr="00000000" w14:paraId="000000E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E009 / INTC and E012 / MU are both classified as theory-weakening. In both cases, the named beneficiary has a negative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below the -0.25 percentage point threshold. Under the pre-data commitment, these outcomes cannot be reclassified as supportive by pointing to other windows, broader benchmarks, or post hoc explanations. They remain theory-weakening for the primary event-study test.</w:t>
      </w:r>
    </w:p>
    <w:p w:rsidR="00000000" w:rsidDel="00000000" w:rsidP="00000000" w:rsidRDefault="00000000" w:rsidRPr="00000000" w14:paraId="000000E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wider-window descriptive results provide context but do not alter the primary classifications. CAR[-7,+7] was not the pre-committed primary outcome. It is reported descriptively because it shows wider event-window movement, but it is more vulnerable to confounding news and broader market conditions than the short sector-adjusted window. For that reason, the Chapter 5 descriptive exhibits should be read as supplementary to the primary outcome, not as replacements for it.</w:t>
      </w:r>
    </w:p>
    <w:p w:rsidR="00000000" w:rsidDel="00000000" w:rsidP="00000000" w:rsidRDefault="00000000" w:rsidRPr="00000000" w14:paraId="000000E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versus non-recipient comparison likewise remains descriptive. The validated comparison does not show systematic recipient outperformance. Recipient observations have a less negative mean CAR than non-recipient observations, but recipients have a lower positive share. Because the sample is small and descriptive, these values should be reported as patterns in the locked evidence package rather than treated as a statistical test.</w:t>
      </w:r>
    </w:p>
    <w:p w:rsidR="00000000" w:rsidDel="00000000" w:rsidP="00000000" w:rsidRDefault="00000000" w:rsidRPr="00000000" w14:paraId="000000E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therefore support a cautious reading. Market reactions to state-support announcements are not uniform. Some observations are consistent with the State Support mechanism, while others weaken it under the project’s own pre-committed criteria. The evidence is strongest as an event-by-event account of heterogeneous market reactions, not as a broad confirmation of the theory.</w:t>
      </w:r>
    </w:p>
    <w:p w:rsidR="00000000" w:rsidDel="00000000" w:rsidP="00000000" w:rsidRDefault="00000000" w:rsidRPr="00000000" w14:paraId="000000F0">
      <w:pPr>
        <w:pStyle w:val="Heading4"/>
        <w:keepNext w:val="0"/>
        <w:keepLines w:val="0"/>
        <w:spacing w:after="0" w:lineRule="auto"/>
        <w:rPr>
          <w:rFonts w:ascii="Times New Roman" w:cs="Times New Roman" w:eastAsia="Times New Roman" w:hAnsi="Times New Roman"/>
          <w:color w:val="000000"/>
        </w:rPr>
      </w:pPr>
      <w:bookmarkStart w:colFirst="0" w:colLast="0" w:name="_tpo8myrjyk1v" w:id="51"/>
      <w:bookmarkEnd w:id="51"/>
      <w:r w:rsidDel="00000000" w:rsidR="00000000" w:rsidRPr="00000000">
        <w:rPr>
          <w:rFonts w:ascii="Times New Roman" w:cs="Times New Roman" w:eastAsia="Times New Roman" w:hAnsi="Times New Roman"/>
          <w:color w:val="000000"/>
          <w:rtl w:val="0"/>
        </w:rPr>
        <w:t xml:space="preserve">6.3 Implications for the State Support Mechanism</w:t>
      </w:r>
    </w:p>
    <w:p w:rsidR="00000000" w:rsidDel="00000000" w:rsidP="00000000" w:rsidRDefault="00000000" w:rsidRPr="00000000" w14:paraId="000000F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frozen theory defines Strategic Importance as a scope condition, State Support as the mechanism, Investor Interpretation as the transmission process, and Positive Market Reaction as the outcome. The evidence does not require changing this framework, but it does limit what can be claimed about it.</w:t>
      </w:r>
    </w:p>
    <w:p w:rsidR="00000000" w:rsidDel="00000000" w:rsidP="00000000" w:rsidRDefault="00000000" w:rsidRPr="00000000" w14:paraId="000000F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indicate that Strategic Importance is not sufficient to generate positive market reactions. All three primary cases involve strategically important semiconductor firms receiving named support, yet only one of the three primary observations is classified as supportive. This is consistent with the theoretical distinction between Strategic Importance and State Support. Strategic Importance identifies where state attention is likely, but it does not guarantee that investors will price the event positively.</w:t>
      </w:r>
    </w:p>
    <w:p w:rsidR="00000000" w:rsidDel="00000000" w:rsidP="00000000" w:rsidRDefault="00000000" w:rsidRPr="00000000" w14:paraId="000000F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also show that State Support does not automatically produce a positive market reaction. The theory treats State Support as the mechanism through which geopolitical competition may become market opportunity, but the primary results show that named state support can coincide with negative sector-adjusted returns. This does not introduce a new mechanism; it reflects the limits of the existing mechanism under the observed cases.</w:t>
      </w:r>
    </w:p>
    <w:p w:rsidR="00000000" w:rsidDel="00000000" w:rsidP="00000000" w:rsidRDefault="00000000" w:rsidRPr="00000000" w14:paraId="000000F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 Interpretation remains central to understanding the empirical pattern. The same broad category of support events produced different market reactions across firms. E010 / TSM was classified as supportive, while E009 / INTC and E012 / MU were classified as theory-weakening. The market reaction therefore appears uneven across cases. The evidence is consistent with the frozen theory’s claim that investors may interpret geopolitical events as mixed signals rather than uniformly positive or uniformly negative events.</w:t>
      </w:r>
    </w:p>
    <w:p w:rsidR="00000000" w:rsidDel="00000000" w:rsidP="00000000" w:rsidRDefault="00000000" w:rsidRPr="00000000" w14:paraId="000000F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 variable, Positive Market Reaction, is observed only in part of the primary sample. The dissertation therefore cannot claim that the State Support mechanism is generally confirmed. It can claim that the mechanism is supported in one primary case and weakened in two primary cases under the pre-committed rule. This distinction is important for preserving the integrity of the research design. The theory was structured so that negative sector-adjusted beneficiary reactions would count against the argument. The results should be reported accordingly.</w:t>
      </w:r>
    </w:p>
    <w:p w:rsidR="00000000" w:rsidDel="00000000" w:rsidP="00000000" w:rsidRDefault="00000000" w:rsidRPr="00000000" w14:paraId="000000F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descriptive evidence reinforces this cautious assessment. The support-event sample has a 50.0000 percent positive CAR share, and the recipient versus non-recipient comparison does not show systematic recipient outperformance. These patterns are consistent with heterogeneity, not with a general rule that subsidy awards or state-support announcements reliably produce positive abnormal returns for named firms.</w:t>
      </w:r>
    </w:p>
    <w:p w:rsidR="00000000" w:rsidDel="00000000" w:rsidP="00000000" w:rsidRDefault="00000000" w:rsidRPr="00000000" w14:paraId="000000F7">
      <w:pPr>
        <w:pStyle w:val="Heading4"/>
        <w:keepNext w:val="0"/>
        <w:keepLines w:val="0"/>
        <w:spacing w:after="0" w:lineRule="auto"/>
        <w:rPr>
          <w:rFonts w:ascii="Times New Roman" w:cs="Times New Roman" w:eastAsia="Times New Roman" w:hAnsi="Times New Roman"/>
          <w:color w:val="000000"/>
        </w:rPr>
      </w:pPr>
      <w:bookmarkStart w:colFirst="0" w:colLast="0" w:name="_lnrwgbdtwfdo" w:id="52"/>
      <w:bookmarkEnd w:id="52"/>
      <w:r w:rsidDel="00000000" w:rsidR="00000000" w:rsidRPr="00000000">
        <w:rPr>
          <w:rFonts w:ascii="Times New Roman" w:cs="Times New Roman" w:eastAsia="Times New Roman" w:hAnsi="Times New Roman"/>
          <w:color w:val="000000"/>
          <w:rtl w:val="0"/>
        </w:rPr>
        <w:t xml:space="preserve">6.4 Limitations</w:t>
      </w:r>
    </w:p>
    <w:p w:rsidR="00000000" w:rsidDel="00000000" w:rsidP="00000000" w:rsidRDefault="00000000" w:rsidRPr="00000000" w14:paraId="000000F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1st limitation is sample size. The primary test contains three event-firm observations. The broader descriptive support-event summary contains twelve observations. This is appropriate for a transparent event-study dissertation design, but it does not support large-N statistical inference. The results should therefore be treated as a small-sample test of a mechanism rather than a general estimate of state-support effects.</w:t>
      </w:r>
    </w:p>
    <w:p w:rsidR="00000000" w:rsidDel="00000000" w:rsidP="00000000" w:rsidRDefault="00000000" w:rsidRPr="00000000" w14:paraId="000000F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2nd limitation is sector scope. The empirical setting is semiconductor state support, especially CHIPS Act-related announcements. Semiconductors are a theoretically appropriate setting because they are strategically important and subject to observable state support. However, the findings cannot be generalised directly to defense, energy security, critical minerals, telecommunications, AI infrastructure, or other strategic sectors without additional evidence.</w:t>
      </w:r>
    </w:p>
    <w:p w:rsidR="00000000" w:rsidDel="00000000" w:rsidP="00000000" w:rsidRDefault="00000000" w:rsidRPr="00000000" w14:paraId="000000F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3rd limitation is event-study identification. Policy announcements may be anticipated before the official event date. Market participants may price information gradually through negotiations, media reports, prior investment commitments, or earlier policy signals. A short-window event study can capture market reactions around observable announcements, but it cannot eliminate anticipation concerns.</w:t>
      </w:r>
    </w:p>
    <w:p w:rsidR="00000000" w:rsidDel="00000000" w:rsidP="00000000" w:rsidRDefault="00000000" w:rsidRPr="00000000" w14:paraId="000000F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4th limitation is confounding market movement. Semiconductor firms in the relevant period were affected by sector-specific expectations, technology cycles, AI-related demand, interest rates, and firm-specific news. The design uses SMH-adjusted returns to reduce the risk that broad semiconductor movement is mistaken for a firm-specific support effect. Sector adjustment improves the design, but it does not remove every possible confound.</w:t>
      </w:r>
    </w:p>
    <w:p w:rsidR="00000000" w:rsidDel="00000000" w:rsidP="00000000" w:rsidRDefault="00000000" w:rsidRPr="00000000" w14:paraId="000000F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5th limitation is beneficiary selection. Firms receiving state support are not randomly assigned to treatment. Governments select firms for political, strategic, industrial, and commercial reasons. The dissertation therefore tests market interpretation of state selection and support, not the causal effect of randomly assigned support.</w:t>
      </w:r>
    </w:p>
    <w:p w:rsidR="00000000" w:rsidDel="00000000" w:rsidP="00000000" w:rsidRDefault="00000000" w:rsidRPr="00000000" w14:paraId="000000F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6th limitation is measurement of foreign-linked firms. TSM is traded as an ADR and is included in the primary validated output. Samsung appears in the broader descriptive support-event audit, but foreign-market timing and instrument availability complicate treatment. These issues support the dissertation’s decision to keep the primary test narrow and to separate primary evidence from broader descriptive summaries.</w:t>
      </w:r>
    </w:p>
    <w:p w:rsidR="00000000" w:rsidDel="00000000" w:rsidP="00000000" w:rsidRDefault="00000000" w:rsidRPr="00000000" w14:paraId="000000F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limitation concerns interpretation. Market reactions are not long-term policy outcomes. A positive abnormal return does not show that state support improves productivity, social welfare, industrial capacity, or national security. A negative abnormal return does not prove that support has no long-term value. The analysis is limited to investor expectations around event windows.</w:t>
      </w:r>
    </w:p>
    <w:p w:rsidR="00000000" w:rsidDel="00000000" w:rsidP="00000000" w:rsidRDefault="00000000" w:rsidRPr="00000000" w14:paraId="000000FF">
      <w:pPr>
        <w:pStyle w:val="Heading4"/>
        <w:keepNext w:val="0"/>
        <w:keepLines w:val="0"/>
        <w:spacing w:after="0" w:lineRule="auto"/>
        <w:rPr>
          <w:rFonts w:ascii="Times New Roman" w:cs="Times New Roman" w:eastAsia="Times New Roman" w:hAnsi="Times New Roman"/>
          <w:color w:val="000000"/>
        </w:rPr>
      </w:pPr>
      <w:bookmarkStart w:colFirst="0" w:colLast="0" w:name="_ea4u4r4g4vei" w:id="53"/>
      <w:bookmarkEnd w:id="53"/>
      <w:r w:rsidDel="00000000" w:rsidR="00000000" w:rsidRPr="00000000">
        <w:rPr>
          <w:rFonts w:ascii="Times New Roman" w:cs="Times New Roman" w:eastAsia="Times New Roman" w:hAnsi="Times New Roman"/>
          <w:color w:val="000000"/>
          <w:rtl w:val="0"/>
        </w:rPr>
        <w:t xml:space="preserve">6.5 Future Research</w:t>
      </w:r>
    </w:p>
    <w:p w:rsidR="00000000" w:rsidDel="00000000" w:rsidP="00000000" w:rsidRDefault="00000000" w:rsidRPr="00000000" w14:paraId="0000010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can extend the dissertation only by preserving the same discipline used in the current design: pre-specified events, frozen coding rules, clear outcome variables, and transparent validation.</w:t>
      </w:r>
    </w:p>
    <w:p w:rsidR="00000000" w:rsidDel="00000000" w:rsidP="00000000" w:rsidRDefault="00000000" w:rsidRPr="00000000" w14:paraId="0000010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direction is to expand the event sample within semiconductors. Additional support announcements could be added if they are identified before return analysis and coded according to the same protocol. This would allow future work to assess whether the mixed pattern observed here persists across a larger set of semiconductor support events.</w:t>
      </w:r>
    </w:p>
    <w:p w:rsidR="00000000" w:rsidDel="00000000" w:rsidP="00000000" w:rsidRDefault="00000000" w:rsidRPr="00000000" w14:paraId="0000010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direction is to compare support events with threat-dominant contrast events more systematically. The frozen project distinguishes state-support events from export controls, restrictions, Entity List additions, and retaliation events. A larger design could evaluate whether threat-dominant events produce different market reactions from direct state-support events, while maintaining the distinction between primary support tests and contrast cases.</w:t>
      </w:r>
    </w:p>
    <w:p w:rsidR="00000000" w:rsidDel="00000000" w:rsidP="00000000" w:rsidRDefault="00000000" w:rsidRPr="00000000" w14:paraId="0000010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direction is to examine additional strategic sectors. Defense, energy security, critical minerals, telecommunications, and AI infrastructure all fit the broader scope conditions of the theory. However, these sectors should not be folded into the current dissertation sample after the fact. They would require separate event selection, coding, and validation.</w:t>
      </w:r>
    </w:p>
    <w:p w:rsidR="00000000" w:rsidDel="00000000" w:rsidP="00000000" w:rsidRDefault="00000000" w:rsidRPr="00000000" w14:paraId="0000010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fourth direction is to add text evidence on Investor Interpretation. Analyst reports, earnings-call language, financial media, and corporate statements could help identify whether investors and firms framed support as opportunity, cost offset, weakness signal, or strategic protection. Such evidence would not replace event-study outcomes, but it could help clarify the transmission process between State Support and market reaction.</w:t>
      </w:r>
    </w:p>
    <w:p w:rsidR="00000000" w:rsidDel="00000000" w:rsidP="00000000" w:rsidRDefault="00000000" w:rsidRPr="00000000" w14:paraId="0000010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fifth direction is to refine peer comparisons. The current design uses sector benchmarks and linked firms where available. Future work could define more systematic peer groups by subsector, market exposure, country, or supply-chain role. This would be especially useful for distinguishing firm-specific reactions from broader semiconductor movement. These future directions do not alter the findings of the current dissertation. They identify ways to test the same frozen mechanism in broader or more detailed settings.</w:t>
      </w:r>
    </w:p>
    <w:p w:rsidR="00000000" w:rsidDel="00000000" w:rsidP="00000000" w:rsidRDefault="00000000" w:rsidRPr="00000000" w14:paraId="00000106">
      <w:pPr>
        <w:pStyle w:val="Heading4"/>
        <w:keepNext w:val="0"/>
        <w:keepLines w:val="0"/>
        <w:spacing w:after="0" w:lineRule="auto"/>
        <w:rPr>
          <w:rFonts w:ascii="Times New Roman" w:cs="Times New Roman" w:eastAsia="Times New Roman" w:hAnsi="Times New Roman"/>
          <w:color w:val="000000"/>
        </w:rPr>
      </w:pPr>
      <w:bookmarkStart w:colFirst="0" w:colLast="0" w:name="_diy20u2nk37x" w:id="54"/>
      <w:bookmarkEnd w:id="54"/>
      <w:r w:rsidDel="00000000" w:rsidR="00000000" w:rsidRPr="00000000">
        <w:rPr>
          <w:rFonts w:ascii="Times New Roman" w:cs="Times New Roman" w:eastAsia="Times New Roman" w:hAnsi="Times New Roman"/>
          <w:color w:val="000000"/>
          <w:rtl w:val="0"/>
        </w:rPr>
        <w:t xml:space="preserve">6.6 Conclusion</w:t>
      </w:r>
    </w:p>
    <w:p w:rsidR="00000000" w:rsidDel="00000000" w:rsidP="00000000" w:rsidRDefault="00000000" w:rsidRPr="00000000" w14:paraId="0000010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dissertation examined a narrow question: when do financial markets interpret geopolitical competition as a source of state-backed opportunity for strategically important firms? The theory proposes a conditional pathway in which Geopolitical Competition increases Strategic Importance, Strategic Importance creates the scope for State Support, State Support is transmitted through Investor Interpretation, and the observed outcome is a Positive Market Reaction.</w:t>
      </w:r>
    </w:p>
    <w:p w:rsidR="00000000" w:rsidDel="00000000" w:rsidP="00000000" w:rsidRDefault="00000000" w:rsidRPr="00000000" w14:paraId="0000010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evidence is mixed. Under the pre-committed primary outcome, E010 / TSM is supportive, while E009 / INTC and E012 / MU are theory-weakening. The broader descriptive support-event evidence also shows variation rather than uniform positive reactions. Recipient observations do not systematically outperform non-recipient observations in the descriptive comparison.</w:t>
      </w:r>
    </w:p>
    <w:p w:rsidR="00000000" w:rsidDel="00000000" w:rsidP="00000000" w:rsidRDefault="00000000" w:rsidRPr="00000000" w14:paraId="0000010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therefore does not show that geopolitical competition is generally good for markets. It does not show that state support reliably creates positive abnormal returns. It does not show that named recipients systematically outperform peers or non-recipients. It also does not establish a causal effect of support independent of anticipation, selection, or sector conditions.</w:t>
      </w:r>
    </w:p>
    <w:p w:rsidR="00000000" w:rsidDel="00000000" w:rsidP="00000000" w:rsidRDefault="00000000" w:rsidRPr="00000000" w14:paraId="0000010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dissertation does provide is a disciplined test of the State Support mechanism using frozen theory, frozen coding, a pre-committed primary outcome, and validated event-study outputs. The evidence supports a limited conclusion: state-backed opportunity is empirically uneven. It appears in one primary case and is weakened in two others under the dissertation’s own classification rule. The strongest contribution is therefore not a broad confirmation of the theory, but a transparent demonstration of how the State Support mechanism can be tested, constrained, and evaluated against evidence.</w:t>
      </w:r>
    </w:p>
    <w:p w:rsidR="00000000" w:rsidDel="00000000" w:rsidP="00000000" w:rsidRDefault="00000000" w:rsidRPr="00000000" w14:paraId="0000010B">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3"/>
        <w:jc w:val="center"/>
        <w:rPr>
          <w:rFonts w:ascii="Times New Roman" w:cs="Times New Roman" w:eastAsia="Times New Roman" w:hAnsi="Times New Roman"/>
          <w:b w:val="1"/>
          <w:bCs w:val="1"/>
          <w:i w:val="1"/>
          <w:iCs w:val="1"/>
          <w:color w:val="000000"/>
          <w:sz w:val="24"/>
          <w:szCs w:val="24"/>
        </w:rPr>
      </w:pPr>
      <w:bookmarkStart w:colFirst="0" w:colLast="0" w:name="_rmfam91jcrs9"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Works Cited</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Amsden, A. H. (1989). Asia’s next giant: South Korea and late industrialiation. Oxford </w:t>
      </w:r>
    </w:p>
    <w:p w:rsidR="00000000" w:rsidDel="00000000" w:rsidP="00000000" w:rsidRDefault="00000000" w:rsidRPr="00000000" w14:paraId="000001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Press.</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Amsden, A. H. (2001). The rise of “the rest”: Challenges to the West from late-industrializing </w:t>
      </w:r>
    </w:p>
    <w:p w:rsidR="00000000" w:rsidDel="00000000" w:rsidP="00000000" w:rsidRDefault="00000000" w:rsidRPr="00000000" w14:paraId="0000011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economies. Oxford University Press.</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Baldwin, D. A. (1985). Economic statecraft. Princeton University Press.</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 R., &amp; Brown, P. (1968). An empirical evaluation of accounting income numbers. Journal of </w:t>
      </w:r>
    </w:p>
    <w:p w:rsidR="00000000" w:rsidDel="00000000" w:rsidP="00000000" w:rsidRDefault="00000000" w:rsidRPr="00000000" w14:paraId="0000011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 Research, 6(2), 159–178. https://doi.org/10.2307/2490232</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Blackwill, R. D., &amp; Harris, J. M. (2016). War by other means: Geoeconomics and statecraft. </w:t>
      </w:r>
    </w:p>
    <w:p w:rsidR="00000000" w:rsidDel="00000000" w:rsidP="00000000" w:rsidRDefault="00000000" w:rsidRPr="00000000" w14:paraId="000001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Belknap Press of Harvard University Press.</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F., &amp; Keller, M. R. (Eds.). (2011). State of innovation: The U.S. government's role in </w:t>
      </w:r>
    </w:p>
    <w:p w:rsidR="00000000" w:rsidDel="00000000" w:rsidP="00000000" w:rsidRDefault="00000000" w:rsidRPr="00000000" w14:paraId="0000012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development. Paradigm Publishers.</w:t>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S. J., &amp; Warner, J. B. (1985). Using daily stock returns: The case of event studies. </w:t>
      </w:r>
    </w:p>
    <w:p w:rsidR="00000000" w:rsidDel="00000000" w:rsidP="00000000" w:rsidRDefault="00000000" w:rsidRPr="00000000" w14:paraId="0000012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Financial Economics, 14(1), 3–31. </w:t>
      </w:r>
    </w:p>
    <w:p w:rsidR="00000000" w:rsidDel="00000000" w:rsidP="00000000" w:rsidRDefault="00000000" w:rsidRPr="00000000" w14:paraId="00000124">
      <w:pPr>
        <w:ind w:left="0" w:firstLine="72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https://doi.org/10.1016/0304-405X(85)90042-X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Caldara, D., &amp; Iacoviello, M. (2022). Measuring geopolitical risk. American Economic Review, </w:t>
      </w:r>
    </w:p>
    <w:p w:rsidR="00000000" w:rsidDel="00000000" w:rsidP="00000000" w:rsidRDefault="00000000" w:rsidRPr="00000000" w14:paraId="0000012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112(4), 1194–1225. https://doi.org/10.1257/aer.20191823</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Campbell, J. Y., Lo, A. W., &amp; MacKinlay, A. C. (1997). The econometrics of financial markets. </w:t>
      </w:r>
    </w:p>
    <w:p w:rsidR="00000000" w:rsidDel="00000000" w:rsidP="00000000" w:rsidRDefault="00000000" w:rsidRPr="00000000" w14:paraId="0000012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Princeton University Press.</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 H.-J. (2002). Kicking away the ladder: Development strategy in historical perspective. </w:t>
      </w:r>
    </w:p>
    <w:p w:rsidR="00000000" w:rsidDel="00000000" w:rsidP="00000000" w:rsidRDefault="00000000" w:rsidRPr="00000000" w14:paraId="0000012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Anthem Press.</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Drezner, D. W. (1999). The sanctions paradox: Economic statecraft and international relations. </w:t>
      </w:r>
    </w:p>
    <w:p w:rsidR="00000000" w:rsidDel="00000000" w:rsidP="00000000" w:rsidRDefault="00000000" w:rsidRPr="00000000" w14:paraId="0000012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Cambridge University Press.</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Evans, P. (1995). Embedded autonomy: States and industrial transformation. Princeton </w:t>
      </w:r>
    </w:p>
    <w:p w:rsidR="00000000" w:rsidDel="00000000" w:rsidP="00000000" w:rsidRDefault="00000000" w:rsidRPr="00000000" w14:paraId="0000012E">
      <w:pPr>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University Press.】</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Fama, E. F. (1970). Efficient capital markets: A review of theory and empirical work. Journal of </w:t>
      </w:r>
    </w:p>
    <w:p w:rsidR="00000000" w:rsidDel="00000000" w:rsidP="00000000" w:rsidRDefault="00000000" w:rsidRPr="00000000" w14:paraId="0000013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25(2), 383–417.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https://doi.org/10.2307/2325486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Fama, E. F., Fisher, L., Jensen, M. C., &amp; Roll, R. (1969). The adjustment of stock prices to new </w:t>
      </w:r>
    </w:p>
    <w:p w:rsidR="00000000" w:rsidDel="00000000" w:rsidP="00000000" w:rsidRDefault="00000000" w:rsidRPr="00000000" w14:paraId="0000013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International Economic Review, 10(1), 1–21. </w:t>
      </w:r>
    </w:p>
    <w:p w:rsidR="00000000" w:rsidDel="00000000" w:rsidP="00000000" w:rsidRDefault="00000000" w:rsidRPr="00000000" w14:paraId="00000133">
      <w:pPr>
        <w:ind w:firstLine="72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https://doi.org/10.2307/2525569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Farrell, H., &amp; Newman, A. L. (2019). Weaponized interdependence: How global economic </w:t>
      </w:r>
    </w:p>
    <w:p w:rsidR="00000000" w:rsidDel="00000000" w:rsidP="00000000" w:rsidRDefault="00000000" w:rsidRPr="00000000" w14:paraId="0000013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networks shape state coercion. International Security, 44(1), 42–79. </w:t>
      </w:r>
    </w:p>
    <w:p w:rsidR="00000000" w:rsidDel="00000000" w:rsidP="00000000" w:rsidRDefault="00000000" w:rsidRPr="00000000" w14:paraId="00000136">
      <w:pPr>
        <w:ind w:firstLine="72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https://doi.org/10.1162/isec_a_00351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Farrell, H., &amp; Newman, A. L. (2023). Underground empire: How America weaponized the world </w:t>
      </w:r>
    </w:p>
    <w:p w:rsidR="00000000" w:rsidDel="00000000" w:rsidP="00000000" w:rsidRDefault="00000000" w:rsidRPr="00000000" w14:paraId="0000013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economy. Henry Holt and Company.</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Gelman, A., &amp; Loken, E. (2014). The statistical crisis in science. American Scientist, 102(6), </w:t>
      </w:r>
    </w:p>
    <w:p w:rsidR="00000000" w:rsidDel="00000000" w:rsidP="00000000" w:rsidRDefault="00000000" w:rsidRPr="00000000" w14:paraId="0000013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460–465.</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Gerschenkron, A. (1962). Economic backwardness in historical perspective: A book of essays. </w:t>
      </w:r>
    </w:p>
    <w:p w:rsidR="00000000" w:rsidDel="00000000" w:rsidP="00000000" w:rsidRDefault="00000000" w:rsidRPr="00000000" w14:paraId="0000013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Belknap Press of Harvard University Press.</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Hirschman, A. O. (1980). National power and the structure of foreign trade (Expanded ed.). </w:t>
      </w:r>
    </w:p>
    <w:p w:rsidR="00000000" w:rsidDel="00000000" w:rsidP="00000000" w:rsidRDefault="00000000" w:rsidRPr="00000000" w14:paraId="0000013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California Press. (Original work published 1945)</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C. (1982). MITI and the Japanese miracle: The growth of industrial policy, 1925–1975. </w:t>
      </w:r>
    </w:p>
    <w:p w:rsidR="00000000" w:rsidDel="00000000" w:rsidP="00000000" w:rsidRDefault="00000000" w:rsidRPr="00000000" w14:paraId="0000014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Stanford University Press.</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Kothari, S. P., &amp; Warner, J. B. (2007). Econometrics of event studies. In B. E. Eckbo (Ed.), </w:t>
      </w:r>
    </w:p>
    <w:p w:rsidR="00000000" w:rsidDel="00000000" w:rsidP="00000000" w:rsidRDefault="00000000" w:rsidRPr="00000000" w14:paraId="0000014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Handbook of corporate finance: Empirical corporate finance (Vol. 1, pp. 3–36). Elsevier. </w:t>
      </w:r>
    </w:p>
    <w:p w:rsidR="00000000" w:rsidDel="00000000" w:rsidP="00000000" w:rsidRDefault="00000000" w:rsidRPr="00000000" w14:paraId="00000143">
      <w:pPr>
        <w:ind w:firstLine="72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https://doi.org/10.1016/B978-0-444-53265-7.50015-9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Luttwak, E. N. (1990). From geopolitics to geo-economics: Logic of conflict, grammar of </w:t>
      </w:r>
    </w:p>
    <w:p w:rsidR="00000000" w:rsidDel="00000000" w:rsidP="00000000" w:rsidRDefault="00000000" w:rsidRPr="00000000" w14:paraId="0000014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commerce. The National Interest, 20, 17–23.</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MacKinlay, A. C. (1997). Event studies in economics and finance. Journal of Economic </w:t>
      </w:r>
    </w:p>
    <w:p w:rsidR="00000000" w:rsidDel="00000000" w:rsidP="00000000" w:rsidRDefault="00000000" w:rsidRPr="00000000" w14:paraId="0000014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35(1), 13–39.</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Mazzucato, M. (2013). The entrepreneurial state: Debunking public vs. private sector myths. </w:t>
      </w:r>
    </w:p>
    <w:p w:rsidR="00000000" w:rsidDel="00000000" w:rsidP="00000000" w:rsidRDefault="00000000" w:rsidRPr="00000000" w14:paraId="0000014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Anthem Press.</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Mazzucato, M. (2021). Mission economy: A moonshot guide to changing capitalism. Harper </w:t>
      </w:r>
    </w:p>
    <w:p w:rsidR="00000000" w:rsidDel="00000000" w:rsidP="00000000" w:rsidRDefault="00000000" w:rsidRPr="00000000" w14:paraId="0000014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Nosek, B. A., Ebersole, C. R., DeHaven, A. C., &amp; Mellor, D. T. (2018). The preregistration </w:t>
      </w:r>
    </w:p>
    <w:p w:rsidR="00000000" w:rsidDel="00000000" w:rsidP="00000000" w:rsidRDefault="00000000" w:rsidRPr="00000000" w14:paraId="0000014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revolution. Proceedings of the National Academy of Sciences, 115(11), 2600–2606. </w:t>
      </w:r>
    </w:p>
    <w:p w:rsidR="00000000" w:rsidDel="00000000" w:rsidP="00000000" w:rsidRDefault="00000000" w:rsidRPr="00000000" w14:paraId="0000014E">
      <w:pPr>
        <w:ind w:left="720" w:firstLine="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https://doi.org/10.1073/pnas.1708274114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Rodrik, D. (2004). Industrial policy for the twenty-first century (KSG Working Paper No. </w:t>
      </w:r>
    </w:p>
    <w:p w:rsidR="00000000" w:rsidDel="00000000" w:rsidP="00000000" w:rsidRDefault="00000000" w:rsidRPr="00000000" w14:paraId="0000015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RWP04-047). Harvard University, John F. Kennedy School of Government.</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Shiller, R. J. (2003). From efficient markets theory to behavioral finance. Journal of Economic </w:t>
      </w:r>
    </w:p>
    <w:p w:rsidR="00000000" w:rsidDel="00000000" w:rsidP="00000000" w:rsidRDefault="00000000" w:rsidRPr="00000000" w14:paraId="0000015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Perspectives, 17(1), 83–104. https://doi.org/10.1257/089533003321164967</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Simmons, J. P., Nelson, L. D., &amp; Simonsohn, U. (2011). False-positive psychology: Undisclosed </w:t>
      </w:r>
    </w:p>
    <w:p w:rsidR="00000000" w:rsidDel="00000000" w:rsidP="00000000" w:rsidRDefault="00000000" w:rsidRPr="00000000" w14:paraId="0000015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flexibility in data collection and analysis allows presenting anything as significant. </w:t>
      </w:r>
    </w:p>
    <w:p w:rsidR="00000000" w:rsidDel="00000000" w:rsidP="00000000" w:rsidRDefault="00000000" w:rsidRPr="00000000" w14:paraId="0000015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Science, 22(11), 1359–1366.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https://doi.org/10.1177/0956797611417632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Wade, R. (1990). Governing the market: Economic theory and the role of government in East </w:t>
      </w:r>
    </w:p>
    <w:p w:rsidR="00000000" w:rsidDel="00000000" w:rsidP="00000000" w:rsidRDefault="00000000" w:rsidRPr="00000000" w14:paraId="0000015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Asian industrialisation. Princeton University Press.</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Weiss, L. (2014). America Inc.? Innovation and enterprise in the national security state. Cornell </w:t>
      </w:r>
    </w:p>
    <w:p w:rsidR="00000000" w:rsidDel="00000000" w:rsidP="00000000" w:rsidRDefault="00000000" w:rsidRPr="00000000" w14:paraId="0000015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Press.</w:t>
      </w: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2307/2325486" TargetMode="External"/><Relationship Id="rId10" Type="http://schemas.openxmlformats.org/officeDocument/2006/relationships/hyperlink" Target="https://doi.org/10.1016/0304-405X(85)90042-X" TargetMode="External"/><Relationship Id="rId13" Type="http://schemas.openxmlformats.org/officeDocument/2006/relationships/hyperlink" Target="https://doi.org/10.1162/isec_a_00351" TargetMode="External"/><Relationship Id="rId12" Type="http://schemas.openxmlformats.org/officeDocument/2006/relationships/hyperlink" Target="https://doi.org/10.2307/25255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i.org/10.1073/pnas.1708274114" TargetMode="External"/><Relationship Id="rId14" Type="http://schemas.openxmlformats.org/officeDocument/2006/relationships/hyperlink" Target="https://doi.org/10.1016/B978-0-444-53265-7.50015-9" TargetMode="External"/><Relationship Id="rId17" Type="http://schemas.openxmlformats.org/officeDocument/2006/relationships/footer" Target="footer1.xml"/><Relationship Id="rId16" Type="http://schemas.openxmlformats.org/officeDocument/2006/relationships/hyperlink" Target="https://doi.org/10.1177/095679761141763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