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F964" w14:textId="77777777" w:rsidR="000D7D0E" w:rsidRPr="008E3E7A" w:rsidRDefault="00000000">
      <w:pPr>
        <w:spacing w:after="8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b/>
          <w:bCs/>
          <w:color w:val="1F4E79"/>
          <w:sz w:val="24"/>
          <w:szCs w:val="24"/>
        </w:rPr>
        <w:t>AAPL Stock Market Analysis</w:t>
      </w:r>
    </w:p>
    <w:p w14:paraId="50722CE5" w14:textId="77777777" w:rsidR="000D7D0E" w:rsidRPr="008E3E7A" w:rsidRDefault="00000000">
      <w:pPr>
        <w:spacing w:after="4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i/>
          <w:iCs/>
          <w:sz w:val="24"/>
          <w:szCs w:val="24"/>
        </w:rPr>
        <w:t>Insight Summary Report — Week 6 Internship Project</w:t>
      </w:r>
    </w:p>
    <w:p w14:paraId="4731368A" w14:textId="77777777" w:rsidR="000D7D0E" w:rsidRPr="008E3E7A" w:rsidRDefault="00000000">
      <w:pPr>
        <w:spacing w:after="30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 xml:space="preserve">Nanahawah | </w:t>
      </w:r>
      <w:proofErr w:type="spellStart"/>
      <w:r w:rsidRPr="008E3E7A">
        <w:rPr>
          <w:rFonts w:asciiTheme="minorHAnsi" w:hAnsiTheme="minorHAnsi" w:cstheme="minorHAnsi"/>
          <w:sz w:val="24"/>
          <w:szCs w:val="24"/>
        </w:rPr>
        <w:t>AnalystLab</w:t>
      </w:r>
      <w:proofErr w:type="spellEnd"/>
      <w:r w:rsidRPr="008E3E7A">
        <w:rPr>
          <w:rFonts w:asciiTheme="minorHAnsi" w:hAnsiTheme="minorHAnsi" w:cstheme="minorHAnsi"/>
          <w:sz w:val="24"/>
          <w:szCs w:val="24"/>
        </w:rPr>
        <w:t xml:space="preserve"> Africa, Batch B (June-August 2026)</w:t>
      </w:r>
    </w:p>
    <w:p w14:paraId="460634CF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1. Dataset Overview</w:t>
      </w:r>
    </w:p>
    <w:p w14:paraId="7724B985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 xml:space="preserve">This analysis uses 5 years of daily historical stock data for Apple Inc. (AAPL), pulled directly via the </w:t>
      </w:r>
      <w:proofErr w:type="spellStart"/>
      <w:r w:rsidRPr="008E3E7A">
        <w:rPr>
          <w:rFonts w:asciiTheme="minorHAnsi" w:hAnsiTheme="minorHAnsi" w:cstheme="minorHAnsi"/>
          <w:sz w:val="24"/>
          <w:szCs w:val="24"/>
        </w:rPr>
        <w:t>yfinance</w:t>
      </w:r>
      <w:proofErr w:type="spellEnd"/>
      <w:r w:rsidRPr="008E3E7A">
        <w:rPr>
          <w:rFonts w:asciiTheme="minorHAnsi" w:hAnsiTheme="minorHAnsi" w:cstheme="minorHAnsi"/>
          <w:sz w:val="24"/>
          <w:szCs w:val="24"/>
        </w:rPr>
        <w:t xml:space="preserve"> Python library into Google </w:t>
      </w:r>
      <w:proofErr w:type="spellStart"/>
      <w:r w:rsidRPr="008E3E7A">
        <w:rPr>
          <w:rFonts w:asciiTheme="minorHAnsi" w:hAnsiTheme="minorHAnsi" w:cstheme="minorHAnsi"/>
          <w:sz w:val="24"/>
          <w:szCs w:val="24"/>
        </w:rPr>
        <w:t>Colab</w:t>
      </w:r>
      <w:proofErr w:type="spellEnd"/>
      <w:r w:rsidRPr="008E3E7A">
        <w:rPr>
          <w:rFonts w:asciiTheme="minorHAnsi" w:hAnsiTheme="minorHAnsi" w:cstheme="minorHAnsi"/>
          <w:sz w:val="24"/>
          <w:szCs w:val="24"/>
        </w:rPr>
        <w:t>, covering July 12, 2021 to July 10, 2026.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D7D0E" w:rsidRPr="008E3E7A" w14:paraId="78A9F0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9"/>
          </w:tcPr>
          <w:p w14:paraId="56EE18BA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4500" w:type="dxa"/>
            <w:shd w:val="clear" w:color="auto" w:fill="1F4E79"/>
          </w:tcPr>
          <w:p w14:paraId="073789B1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0D7D0E" w:rsidRPr="008E3E7A" w14:paraId="706C97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A8C21E4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Total trading days</w:t>
            </w:r>
          </w:p>
        </w:tc>
        <w:tc>
          <w:tcPr>
            <w:tcW w:w="4500" w:type="dxa"/>
          </w:tcPr>
          <w:p w14:paraId="5CFCFC6C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1,255</w:t>
            </w:r>
          </w:p>
        </w:tc>
      </w:tr>
      <w:tr w:rsidR="000D7D0E" w:rsidRPr="008E3E7A" w14:paraId="197674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10A26CB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Date range</w:t>
            </w:r>
          </w:p>
        </w:tc>
        <w:tc>
          <w:tcPr>
            <w:tcW w:w="4500" w:type="dxa"/>
          </w:tcPr>
          <w:p w14:paraId="4D7EEDD2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July 12, 2021 - July 10, 2026</w:t>
            </w:r>
          </w:p>
        </w:tc>
      </w:tr>
      <w:tr w:rsidR="000D7D0E" w:rsidRPr="008E3E7A" w14:paraId="470CA4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05A32C0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Starting closing price</w:t>
            </w:r>
          </w:p>
        </w:tc>
        <w:tc>
          <w:tcPr>
            <w:tcW w:w="4500" w:type="dxa"/>
          </w:tcPr>
          <w:p w14:paraId="4F59E756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$140.85</w:t>
            </w:r>
          </w:p>
        </w:tc>
      </w:tr>
      <w:tr w:rsidR="000D7D0E" w:rsidRPr="008E3E7A" w14:paraId="768BA1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B038606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Ending closing price</w:t>
            </w:r>
          </w:p>
        </w:tc>
        <w:tc>
          <w:tcPr>
            <w:tcW w:w="4500" w:type="dxa"/>
          </w:tcPr>
          <w:p w14:paraId="6139840C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$315.32</w:t>
            </w:r>
          </w:p>
        </w:tc>
      </w:tr>
      <w:tr w:rsidR="000D7D0E" w:rsidRPr="008E3E7A" w14:paraId="73555A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BE3BA7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Average daily volume</w:t>
            </w:r>
          </w:p>
        </w:tc>
        <w:tc>
          <w:tcPr>
            <w:tcW w:w="4500" w:type="dxa"/>
          </w:tcPr>
          <w:p w14:paraId="4E036563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~65.1 million shares</w:t>
            </w:r>
          </w:p>
        </w:tc>
      </w:tr>
      <w:tr w:rsidR="000D7D0E" w:rsidRPr="008E3E7A" w14:paraId="16BE0D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C6FBC05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Missing values / duplicates</w:t>
            </w:r>
          </w:p>
        </w:tc>
        <w:tc>
          <w:tcPr>
            <w:tcW w:w="4500" w:type="dxa"/>
          </w:tcPr>
          <w:p w14:paraId="558CD46C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0 (dataset was clean at source)</w:t>
            </w:r>
          </w:p>
        </w:tc>
      </w:tr>
    </w:tbl>
    <w:p w14:paraId="1416C2EE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2. Data Transformation Techniques Applied</w:t>
      </w:r>
    </w:p>
    <w:p w14:paraId="4840E93F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Cleaned and validated the dataset: checked for missing values, duplicate dates, non-positive prices, and logical inconsistencies (High always &gt;= Open/Low/Close) — none found.</w:t>
      </w:r>
    </w:p>
    <w:p w14:paraId="7D40E5FB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Sorted data chronologically and set Date as the index to enable time-series operations.</w:t>
      </w:r>
    </w:p>
    <w:p w14:paraId="3DC3D50E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Created calculated columns: Daily Price Change, Daily % Change, and Daily Trading Range (High - Low).</w:t>
      </w:r>
    </w:p>
    <w:p w14:paraId="1CD15221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Extracted Year, Month, and Year-Month fields to support grouping and aggregation.</w:t>
      </w:r>
    </w:p>
    <w:p w14:paraId="25487FE0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Aggregated data by year and by month to summarize average price, volume, and volatility trends.</w:t>
      </w:r>
    </w:p>
    <w:p w14:paraId="695E7D94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3. Trends Identified</w:t>
      </w:r>
    </w:p>
    <w:p w14:paraId="6904825C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AAPL's closing price grew substantially across the 5-year window, more than doubling from its starting value.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D7D0E" w:rsidRPr="008E3E7A" w14:paraId="7CA3C6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9"/>
          </w:tcPr>
          <w:p w14:paraId="6D09FD54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4500" w:type="dxa"/>
            <w:shd w:val="clear" w:color="auto" w:fill="1F4E79"/>
          </w:tcPr>
          <w:p w14:paraId="33486DA9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0D7D0E" w:rsidRPr="008E3E7A" w14:paraId="061B3C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20FBC6F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Total return (5 years)</w:t>
            </w:r>
          </w:p>
        </w:tc>
        <w:tc>
          <w:tcPr>
            <w:tcW w:w="4500" w:type="dxa"/>
          </w:tcPr>
          <w:p w14:paraId="20BCCD43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+123.87%</w:t>
            </w:r>
          </w:p>
        </w:tc>
      </w:tr>
      <w:tr w:rsidR="000D7D0E" w:rsidRPr="008E3E7A" w14:paraId="1BF5D4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DDED86A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$1 invested at the start would now be worth</w:t>
            </w:r>
          </w:p>
        </w:tc>
        <w:tc>
          <w:tcPr>
            <w:tcW w:w="4500" w:type="dxa"/>
          </w:tcPr>
          <w:p w14:paraId="49214235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$2.24</w:t>
            </w:r>
          </w:p>
        </w:tc>
      </w:tr>
      <w:tr w:rsidR="000D7D0E" w:rsidRPr="008E3E7A" w14:paraId="0A5B7D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D5E187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Average closing price, 2021</w:t>
            </w:r>
          </w:p>
        </w:tc>
        <w:tc>
          <w:tcPr>
            <w:tcW w:w="4500" w:type="dxa"/>
          </w:tcPr>
          <w:p w14:paraId="6839BED9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$149.55</w:t>
            </w:r>
          </w:p>
        </w:tc>
      </w:tr>
      <w:tr w:rsidR="000D7D0E" w:rsidRPr="008E3E7A" w14:paraId="44A4E6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2EF2117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Average closing price, 2026 (YTD)</w:t>
            </w:r>
          </w:p>
        </w:tc>
        <w:tc>
          <w:tcPr>
            <w:tcW w:w="4500" w:type="dxa"/>
          </w:tcPr>
          <w:p w14:paraId="5AD55183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$275.03</w:t>
            </w:r>
          </w:p>
        </w:tc>
      </w:tr>
      <w:tr w:rsidR="000D7D0E" w:rsidRPr="008E3E7A" w14:paraId="6E7E30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3098BE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Best month</w:t>
            </w:r>
          </w:p>
        </w:tc>
        <w:tc>
          <w:tcPr>
            <w:tcW w:w="4500" w:type="dxa"/>
          </w:tcPr>
          <w:p w14:paraId="346053DE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July 2022 (+18.86%)</w:t>
            </w:r>
          </w:p>
        </w:tc>
      </w:tr>
      <w:tr w:rsidR="000D7D0E" w:rsidRPr="008E3E7A" w14:paraId="3BFDF7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A2621A5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Worst month</w:t>
            </w:r>
          </w:p>
        </w:tc>
        <w:tc>
          <w:tcPr>
            <w:tcW w:w="4500" w:type="dxa"/>
          </w:tcPr>
          <w:p w14:paraId="23E5A52A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December 2022 (-12.23%)</w:t>
            </w:r>
          </w:p>
        </w:tc>
      </w:tr>
      <w:tr w:rsidR="000D7D0E" w:rsidRPr="008E3E7A" w14:paraId="17311E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02440A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Share of positive months</w:t>
            </w:r>
          </w:p>
        </w:tc>
        <w:tc>
          <w:tcPr>
            <w:tcW w:w="4500" w:type="dxa"/>
          </w:tcPr>
          <w:p w14:paraId="06F8F08E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55.7%</w:t>
            </w:r>
          </w:p>
        </w:tc>
      </w:tr>
      <w:tr w:rsidR="000D7D0E" w:rsidRPr="008E3E7A" w14:paraId="4B2F41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26DCC15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Highest single-day volume</w:t>
            </w:r>
          </w:p>
        </w:tc>
        <w:tc>
          <w:tcPr>
            <w:tcW w:w="4500" w:type="dxa"/>
          </w:tcPr>
          <w:p w14:paraId="593B18B2" w14:textId="77777777" w:rsidR="000D7D0E" w:rsidRPr="008E3E7A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E3E7A">
              <w:rPr>
                <w:rFonts w:asciiTheme="minorHAnsi" w:hAnsiTheme="minorHAnsi" w:cstheme="minorHAnsi"/>
                <w:sz w:val="24"/>
                <w:szCs w:val="24"/>
              </w:rPr>
              <w:t>~318.7M shares (Sep 20, 2024)</w:t>
            </w:r>
          </w:p>
        </w:tc>
      </w:tr>
    </w:tbl>
    <w:p w14:paraId="6EDF6823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 xml:space="preserve">The 30-day moving average consistently confirms a long-term uptrend, while the 7-day moving average captures more frequent short-term reversals. Average daily volatility (measured by </w:t>
      </w:r>
      <w:r w:rsidRPr="008E3E7A">
        <w:rPr>
          <w:rFonts w:asciiTheme="minorHAnsi" w:hAnsiTheme="minorHAnsi" w:cstheme="minorHAnsi"/>
          <w:sz w:val="24"/>
          <w:szCs w:val="24"/>
        </w:rPr>
        <w:lastRenderedPageBreak/>
        <w:t>daily trading range) also grew over time — from $2.89 in 2021 to $6.15 in 2026 — showing that price swings became larger in dollar terms as the stock price itself grew. Rolling 30-day volatility of daily returns shows a notable exception: rather than a brief spike, volatility stayed unusually elevated (around 4.0-4.5%) for an extended stretch in mid-2025, pointing to a sustained period of market uncertainty rather than a single shock event.</w:t>
      </w:r>
    </w:p>
    <w:p w14:paraId="0BAAED72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4. Features Created</w:t>
      </w:r>
    </w:p>
    <w:p w14:paraId="3763E317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Daily Price Change and Daily % Change — day-to-day momentum indicators.</w:t>
      </w:r>
    </w:p>
    <w:p w14:paraId="0E0BB76F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Daily Trading Range — a simple proxy for intraday volatility.</w:t>
      </w:r>
    </w:p>
    <w:p w14:paraId="7288DB23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7-Day and 30-Day Moving Averages — short- and medium-term trend smoothing.</w:t>
      </w:r>
    </w:p>
    <w:p w14:paraId="074BC84D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Monthly Returns — percentage change in closing price from month-end to month-end.</w:t>
      </w:r>
    </w:p>
    <w:p w14:paraId="014FEBBF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30-Day Rolling Volatility — standard deviation of daily returns, a standard risk measure.</w:t>
      </w:r>
    </w:p>
    <w:p w14:paraId="7213B395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Cumulative Return — tracks the growth of a hypothetical $1 investment over the full period.</w:t>
      </w:r>
    </w:p>
    <w:p w14:paraId="78DD59FB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5. Key Visualizations</w:t>
      </w:r>
    </w:p>
    <w:p w14:paraId="5ED1EB7E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Closing Price Trend — shows the overall upward trajectory of AAPL over 5 years.</w:t>
      </w:r>
    </w:p>
    <w:p w14:paraId="36441D9C" w14:textId="77777777" w:rsidR="000D7D0E" w:rsidRPr="008E3E7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C352CDE" wp14:editId="0F06FA6C">
            <wp:extent cx="55245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C588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Trading Volume Trend — highlights periods of unusually high trading activity, most notably a spike around September 2024.</w:t>
      </w:r>
    </w:p>
    <w:p w14:paraId="6016E6C5" w14:textId="77777777" w:rsidR="000D7D0E" w:rsidRPr="008E3E7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9C1B670" wp14:editId="378098D1">
            <wp:extent cx="5524500" cy="2000250"/>
            <wp:effectExtent l="0" t="0" r="0" b="0"/>
            <wp:docPr id="1056003671" name="Picture 105600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F0DA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lastRenderedPageBreak/>
        <w:t>Moving Average Analysis — compares the daily close against 7-day and 30-day moving averages.</w:t>
      </w:r>
    </w:p>
    <w:p w14:paraId="37E7BA81" w14:textId="77777777" w:rsidR="000D7D0E" w:rsidRPr="008E3E7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B735142" wp14:editId="720127D1">
            <wp:extent cx="5524500" cy="2000250"/>
            <wp:effectExtent l="0" t="0" r="0" b="0"/>
            <wp:docPr id="1002375066" name="Picture 1002375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C280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Monthly Returns Analysis — visualizes month-by-month performance, with green bars for gains and red for losses.</w:t>
      </w:r>
    </w:p>
    <w:p w14:paraId="7C3487F5" w14:textId="77777777" w:rsidR="000D7D0E" w:rsidRPr="008E3E7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1616AC6" wp14:editId="0149EC80">
            <wp:extent cx="5524500" cy="2000250"/>
            <wp:effectExtent l="0" t="0" r="0" b="0"/>
            <wp:docPr id="594479411" name="Picture 594479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B95" w14:textId="77777777" w:rsidR="000D7D0E" w:rsidRPr="008E3E7A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30-Day Rolling Volatility (bonus chart) — reveals the extended high-volatility plateau around mid-2025.</w:t>
      </w:r>
    </w:p>
    <w:p w14:paraId="5FD3240E" w14:textId="77777777" w:rsidR="000D7D0E" w:rsidRPr="008E3E7A" w:rsidRDefault="00000000">
      <w:pPr>
        <w:spacing w:after="200"/>
        <w:jc w:val="center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C029151" wp14:editId="598D8759">
            <wp:extent cx="5524500" cy="2000250"/>
            <wp:effectExtent l="0" t="0" r="0" b="0"/>
            <wp:docPr id="812829288" name="Picture 812829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1E61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6. Key Insights</w:t>
      </w:r>
    </w:p>
    <w:p w14:paraId="25693B4B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lastRenderedPageBreak/>
        <w:t>AAPL delivered strong long-term growth (+123.87%) despite short-term volatility, reflecting sustained investor confidence over the 5-year period.</w:t>
      </w:r>
    </w:p>
    <w:p w14:paraId="51146DBC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The stock's performance was not linear — nearly 45% of months were negative — underscoring the importance of a long holding horizon for investors.</w:t>
      </w:r>
    </w:p>
    <w:p w14:paraId="17C295B3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Volume spikes are a useful early signal of significant company events; the largest spike (~318.7M shares) likely corresponds to an earnings release or major news event.</w:t>
      </w:r>
    </w:p>
    <w:p w14:paraId="1EF5A3AF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The mid-2025 volatility plateau stands out as an unusual pattern — sustained elevated volatility rather than a brief shock — worth further investigation against company or macroeconomic news from that period.</w:t>
      </w:r>
    </w:p>
    <w:p w14:paraId="50953821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Moving average crossovers (7-day vs 30-day) provide a simple, visual way to identify potential trend shifts.</w:t>
      </w:r>
    </w:p>
    <w:p w14:paraId="079735BD" w14:textId="77777777" w:rsidR="000D7D0E" w:rsidRPr="008E3E7A" w:rsidRDefault="00000000">
      <w:pPr>
        <w:pStyle w:val="Heading1"/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7. Recommendations</w:t>
      </w:r>
    </w:p>
    <w:p w14:paraId="4EF54EC7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Long-term investors were well rewarded for holding through short-term dips; short-term traders should pay close attention to volatility spikes for risk management.</w:t>
      </w:r>
    </w:p>
    <w:p w14:paraId="33DC0E32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Use the 7-day/30-day moving average crossover as a simple supplementary signal alongside fundamental research, not as a standalone strategy.</w:t>
      </w:r>
    </w:p>
    <w:p w14:paraId="1C196F34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Extend this analysis by benchmarking AAPL against a broader index (e.g., S&amp;P 500) to assess relative performance and correlation.</w:t>
      </w:r>
    </w:p>
    <w:p w14:paraId="16CBEBF8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Investigate the mid-2025 sustained volatility period against news/earnings timelines to understand its cause.</w:t>
      </w:r>
    </w:p>
    <w:p w14:paraId="282846E9" w14:textId="77777777" w:rsidR="000D7D0E" w:rsidRPr="008E3E7A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8E3E7A">
        <w:rPr>
          <w:rFonts w:asciiTheme="minorHAnsi" w:hAnsiTheme="minorHAnsi" w:cstheme="minorHAnsi"/>
          <w:sz w:val="24"/>
          <w:szCs w:val="24"/>
        </w:rPr>
        <w:t>Incorporate earnings-date annotations into future versions of the volume and volatility charts to directly link spikes to specific events.</w:t>
      </w:r>
    </w:p>
    <w:sectPr w:rsidR="000D7D0E" w:rsidRPr="008E3E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1ABC1" w14:textId="77777777" w:rsidR="00812521" w:rsidRDefault="00812521" w:rsidP="008E3E7A">
      <w:r>
        <w:separator/>
      </w:r>
    </w:p>
  </w:endnote>
  <w:endnote w:type="continuationSeparator" w:id="0">
    <w:p w14:paraId="763F4E50" w14:textId="77777777" w:rsidR="00812521" w:rsidRDefault="00812521" w:rsidP="008E3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D902" w14:textId="77777777" w:rsidR="00812521" w:rsidRDefault="00812521" w:rsidP="008E3E7A">
      <w:r>
        <w:separator/>
      </w:r>
    </w:p>
  </w:footnote>
  <w:footnote w:type="continuationSeparator" w:id="0">
    <w:p w14:paraId="0FCB7B09" w14:textId="77777777" w:rsidR="00812521" w:rsidRDefault="00812521" w:rsidP="008E3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14F0B"/>
    <w:multiLevelType w:val="hybridMultilevel"/>
    <w:tmpl w:val="F950075A"/>
    <w:lvl w:ilvl="0" w:tplc="86FAACA4">
      <w:start w:val="1"/>
      <w:numFmt w:val="bullet"/>
      <w:lvlText w:val="●"/>
      <w:lvlJc w:val="left"/>
      <w:pPr>
        <w:ind w:left="720" w:hanging="360"/>
      </w:pPr>
    </w:lvl>
    <w:lvl w:ilvl="1" w:tplc="88E8C738">
      <w:start w:val="1"/>
      <w:numFmt w:val="bullet"/>
      <w:lvlText w:val="○"/>
      <w:lvlJc w:val="left"/>
      <w:pPr>
        <w:ind w:left="1440" w:hanging="360"/>
      </w:pPr>
    </w:lvl>
    <w:lvl w:ilvl="2" w:tplc="5136EBF8">
      <w:start w:val="1"/>
      <w:numFmt w:val="bullet"/>
      <w:lvlText w:val="■"/>
      <w:lvlJc w:val="left"/>
      <w:pPr>
        <w:ind w:left="2160" w:hanging="360"/>
      </w:pPr>
    </w:lvl>
    <w:lvl w:ilvl="3" w:tplc="158AB4DE">
      <w:start w:val="1"/>
      <w:numFmt w:val="bullet"/>
      <w:lvlText w:val="●"/>
      <w:lvlJc w:val="left"/>
      <w:pPr>
        <w:ind w:left="2880" w:hanging="360"/>
      </w:pPr>
    </w:lvl>
    <w:lvl w:ilvl="4" w:tplc="58D42A98">
      <w:start w:val="1"/>
      <w:numFmt w:val="bullet"/>
      <w:lvlText w:val="○"/>
      <w:lvlJc w:val="left"/>
      <w:pPr>
        <w:ind w:left="3600" w:hanging="360"/>
      </w:pPr>
    </w:lvl>
    <w:lvl w:ilvl="5" w:tplc="7F88FDAC">
      <w:start w:val="1"/>
      <w:numFmt w:val="bullet"/>
      <w:lvlText w:val="■"/>
      <w:lvlJc w:val="left"/>
      <w:pPr>
        <w:ind w:left="4320" w:hanging="360"/>
      </w:pPr>
    </w:lvl>
    <w:lvl w:ilvl="6" w:tplc="6D7A5E52">
      <w:start w:val="1"/>
      <w:numFmt w:val="bullet"/>
      <w:lvlText w:val="●"/>
      <w:lvlJc w:val="left"/>
      <w:pPr>
        <w:ind w:left="5040" w:hanging="360"/>
      </w:pPr>
    </w:lvl>
    <w:lvl w:ilvl="7" w:tplc="C6E8323A">
      <w:start w:val="1"/>
      <w:numFmt w:val="bullet"/>
      <w:lvlText w:val="●"/>
      <w:lvlJc w:val="left"/>
      <w:pPr>
        <w:ind w:left="5760" w:hanging="360"/>
      </w:pPr>
    </w:lvl>
    <w:lvl w:ilvl="8" w:tplc="5F746780">
      <w:start w:val="1"/>
      <w:numFmt w:val="bullet"/>
      <w:lvlText w:val="●"/>
      <w:lvlJc w:val="left"/>
      <w:pPr>
        <w:ind w:left="6480" w:hanging="360"/>
      </w:pPr>
    </w:lvl>
  </w:abstractNum>
  <w:num w:numId="1" w16cid:durableId="2053840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D0E"/>
    <w:rsid w:val="00036A09"/>
    <w:rsid w:val="000D7D0E"/>
    <w:rsid w:val="00812521"/>
    <w:rsid w:val="008E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8470"/>
  <w15:docId w15:val="{F0CD4BDD-1376-4B63-8163-D61EEDF5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3E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E7A"/>
  </w:style>
  <w:style w:type="paragraph" w:styleId="Footer">
    <w:name w:val="footer"/>
    <w:basedOn w:val="Normal"/>
    <w:link w:val="FooterChar"/>
    <w:uiPriority w:val="99"/>
    <w:unhideWhenUsed/>
    <w:rsid w:val="008E3E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Nanahawah Ajanaku</cp:lastModifiedBy>
  <cp:revision>2</cp:revision>
  <dcterms:created xsi:type="dcterms:W3CDTF">2026-07-10T21:31:00Z</dcterms:created>
  <dcterms:modified xsi:type="dcterms:W3CDTF">2026-07-10T21:35:00Z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2e9cd87c-756c-40a3-90d3-3ad04a439222</vt:lpwstr>
  </property>
</Properties>
</file>