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1FFC" w14:textId="23EA9240" w:rsidR="0055187C" w:rsidRDefault="0055187C">
      <w:pPr>
        <w:spacing w:before="28"/>
        <w:ind w:right="1337"/>
        <w:jc w:val="right"/>
        <w:rPr>
          <w:rFonts w:ascii="Calibri"/>
        </w:rPr>
      </w:pPr>
    </w:p>
    <w:p w14:paraId="4E181FFD" w14:textId="77777777" w:rsidR="0055187C" w:rsidRDefault="0055187C">
      <w:pPr>
        <w:pStyle w:val="BodyText"/>
        <w:rPr>
          <w:rFonts w:ascii="Calibri"/>
          <w:sz w:val="20"/>
        </w:rPr>
      </w:pPr>
    </w:p>
    <w:p w14:paraId="4E181FFE" w14:textId="77777777" w:rsidR="0055187C" w:rsidRDefault="0055187C">
      <w:pPr>
        <w:pStyle w:val="BodyText"/>
        <w:rPr>
          <w:rFonts w:ascii="Calibri"/>
          <w:sz w:val="20"/>
        </w:rPr>
      </w:pPr>
    </w:p>
    <w:p w14:paraId="4E181FFF" w14:textId="77777777" w:rsidR="0055187C" w:rsidRDefault="0055187C">
      <w:pPr>
        <w:pStyle w:val="BodyText"/>
        <w:rPr>
          <w:rFonts w:ascii="Calibri"/>
          <w:sz w:val="20"/>
        </w:rPr>
      </w:pPr>
    </w:p>
    <w:p w14:paraId="4E182000" w14:textId="77777777" w:rsidR="0055187C" w:rsidRDefault="0055187C">
      <w:pPr>
        <w:pStyle w:val="BodyText"/>
        <w:rPr>
          <w:rFonts w:ascii="Calibri"/>
          <w:sz w:val="20"/>
        </w:rPr>
      </w:pPr>
    </w:p>
    <w:p w14:paraId="4E182001" w14:textId="77777777" w:rsidR="0055187C" w:rsidRDefault="0055187C">
      <w:pPr>
        <w:pStyle w:val="BodyText"/>
        <w:rPr>
          <w:rFonts w:ascii="Calibri"/>
          <w:sz w:val="20"/>
        </w:rPr>
      </w:pPr>
    </w:p>
    <w:p w14:paraId="4E182002" w14:textId="77777777" w:rsidR="0055187C" w:rsidRDefault="0055187C">
      <w:pPr>
        <w:pStyle w:val="BodyText"/>
        <w:rPr>
          <w:rFonts w:ascii="Calibri"/>
          <w:sz w:val="20"/>
        </w:rPr>
      </w:pPr>
    </w:p>
    <w:p w14:paraId="4E182003" w14:textId="77777777" w:rsidR="0055187C" w:rsidRDefault="0055187C">
      <w:pPr>
        <w:pStyle w:val="BodyText"/>
        <w:rPr>
          <w:rFonts w:ascii="Calibri"/>
          <w:sz w:val="20"/>
        </w:rPr>
      </w:pPr>
    </w:p>
    <w:p w14:paraId="4E182004" w14:textId="77777777" w:rsidR="0055187C" w:rsidRDefault="0055187C">
      <w:pPr>
        <w:pStyle w:val="BodyText"/>
        <w:rPr>
          <w:rFonts w:ascii="Calibri"/>
          <w:sz w:val="20"/>
        </w:rPr>
      </w:pPr>
    </w:p>
    <w:p w14:paraId="4E182005" w14:textId="77777777" w:rsidR="0055187C" w:rsidRDefault="0055187C">
      <w:pPr>
        <w:pStyle w:val="BodyText"/>
        <w:rPr>
          <w:rFonts w:ascii="Calibri"/>
          <w:sz w:val="20"/>
        </w:rPr>
      </w:pPr>
    </w:p>
    <w:p w14:paraId="4E182006" w14:textId="77777777" w:rsidR="0055187C" w:rsidRDefault="0055187C">
      <w:pPr>
        <w:pStyle w:val="BodyText"/>
        <w:rPr>
          <w:rFonts w:ascii="Calibri"/>
          <w:sz w:val="20"/>
        </w:rPr>
      </w:pPr>
    </w:p>
    <w:p w14:paraId="4E182007" w14:textId="77777777" w:rsidR="0055187C" w:rsidRDefault="0055187C">
      <w:pPr>
        <w:pStyle w:val="BodyText"/>
        <w:spacing w:before="10"/>
        <w:rPr>
          <w:rFonts w:ascii="Calibri"/>
          <w:sz w:val="14"/>
        </w:rPr>
      </w:pPr>
    </w:p>
    <w:p w14:paraId="4E182008" w14:textId="5115E521" w:rsidR="0055187C" w:rsidRPr="00C32968" w:rsidRDefault="007404B3">
      <w:pPr>
        <w:spacing w:before="90"/>
        <w:ind w:left="1933" w:right="3172"/>
        <w:jc w:val="center"/>
        <w:rPr>
          <w:b/>
          <w:sz w:val="24"/>
          <w:szCs w:val="24"/>
        </w:rPr>
      </w:pPr>
      <w:r>
        <w:rPr>
          <w:b/>
          <w:spacing w:val="-3"/>
          <w:sz w:val="24"/>
          <w:szCs w:val="24"/>
        </w:rPr>
        <w:t>Module 6 R Practice</w:t>
      </w:r>
    </w:p>
    <w:p w14:paraId="4E182009" w14:textId="77777777" w:rsidR="0055187C" w:rsidRPr="00C32968" w:rsidRDefault="0055187C">
      <w:pPr>
        <w:pStyle w:val="BodyText"/>
        <w:rPr>
          <w:b/>
          <w:sz w:val="24"/>
          <w:szCs w:val="24"/>
        </w:rPr>
      </w:pPr>
    </w:p>
    <w:p w14:paraId="4E18200A" w14:textId="77777777" w:rsidR="0055187C" w:rsidRPr="00C32968" w:rsidRDefault="0055187C">
      <w:pPr>
        <w:pStyle w:val="BodyText"/>
        <w:rPr>
          <w:b/>
          <w:sz w:val="24"/>
          <w:szCs w:val="24"/>
        </w:rPr>
      </w:pPr>
    </w:p>
    <w:p w14:paraId="4E18200B" w14:textId="77777777" w:rsidR="0055187C" w:rsidRPr="00C32968" w:rsidRDefault="0055187C">
      <w:pPr>
        <w:pStyle w:val="BodyText"/>
        <w:rPr>
          <w:b/>
          <w:sz w:val="24"/>
          <w:szCs w:val="24"/>
        </w:rPr>
      </w:pPr>
    </w:p>
    <w:p w14:paraId="4E18200C" w14:textId="77777777" w:rsidR="0055187C" w:rsidRPr="00C32968" w:rsidRDefault="005F32FF">
      <w:pPr>
        <w:spacing w:before="201"/>
        <w:ind w:left="1934" w:right="3172"/>
        <w:jc w:val="center"/>
        <w:rPr>
          <w:sz w:val="24"/>
          <w:szCs w:val="24"/>
        </w:rPr>
      </w:pPr>
      <w:r w:rsidRPr="00C32968">
        <w:rPr>
          <w:sz w:val="24"/>
          <w:szCs w:val="24"/>
        </w:rPr>
        <w:t>Nana</w:t>
      </w:r>
      <w:r w:rsidRPr="00C32968">
        <w:rPr>
          <w:spacing w:val="53"/>
          <w:sz w:val="24"/>
          <w:szCs w:val="24"/>
        </w:rPr>
        <w:t xml:space="preserve"> </w:t>
      </w:r>
      <w:r w:rsidRPr="00C32968">
        <w:rPr>
          <w:spacing w:val="-4"/>
          <w:sz w:val="24"/>
          <w:szCs w:val="24"/>
        </w:rPr>
        <w:t>Oteng</w:t>
      </w:r>
    </w:p>
    <w:p w14:paraId="430A0E88" w14:textId="43590675" w:rsidR="00C32968" w:rsidRPr="00C32968" w:rsidRDefault="005F32FF" w:rsidP="00C32968">
      <w:pPr>
        <w:spacing w:before="182" w:line="398" w:lineRule="auto"/>
        <w:ind w:left="1934" w:right="3172"/>
        <w:jc w:val="center"/>
        <w:rPr>
          <w:sz w:val="24"/>
          <w:szCs w:val="24"/>
        </w:rPr>
      </w:pPr>
      <w:r w:rsidRPr="00C32968">
        <w:rPr>
          <w:sz w:val="24"/>
          <w:szCs w:val="24"/>
        </w:rPr>
        <w:t>College</w:t>
      </w:r>
      <w:r w:rsidRPr="00C32968">
        <w:rPr>
          <w:spacing w:val="40"/>
          <w:sz w:val="24"/>
          <w:szCs w:val="24"/>
        </w:rPr>
        <w:t xml:space="preserve"> </w:t>
      </w:r>
      <w:r w:rsidRPr="00C32968">
        <w:rPr>
          <w:sz w:val="24"/>
          <w:szCs w:val="24"/>
        </w:rPr>
        <w:t>of</w:t>
      </w:r>
      <w:r w:rsidRPr="00C32968">
        <w:rPr>
          <w:spacing w:val="40"/>
          <w:sz w:val="24"/>
          <w:szCs w:val="24"/>
        </w:rPr>
        <w:t xml:space="preserve"> </w:t>
      </w:r>
      <w:r w:rsidRPr="00C32968">
        <w:rPr>
          <w:sz w:val="24"/>
          <w:szCs w:val="24"/>
        </w:rPr>
        <w:t>Professional</w:t>
      </w:r>
      <w:r w:rsidRPr="00C32968">
        <w:rPr>
          <w:spacing w:val="40"/>
          <w:sz w:val="24"/>
          <w:szCs w:val="24"/>
        </w:rPr>
        <w:t xml:space="preserve"> </w:t>
      </w:r>
      <w:r w:rsidRPr="00C32968">
        <w:rPr>
          <w:sz w:val="24"/>
          <w:szCs w:val="24"/>
        </w:rPr>
        <w:t>Studies,</w:t>
      </w:r>
      <w:r w:rsidRPr="00C32968">
        <w:rPr>
          <w:spacing w:val="40"/>
          <w:sz w:val="24"/>
          <w:szCs w:val="24"/>
        </w:rPr>
        <w:t xml:space="preserve"> </w:t>
      </w:r>
      <w:r w:rsidRPr="00C32968">
        <w:rPr>
          <w:sz w:val="24"/>
          <w:szCs w:val="24"/>
        </w:rPr>
        <w:t>Northeastern</w:t>
      </w:r>
      <w:r w:rsidRPr="00C32968">
        <w:rPr>
          <w:spacing w:val="40"/>
          <w:sz w:val="24"/>
          <w:szCs w:val="24"/>
        </w:rPr>
        <w:t xml:space="preserve"> </w:t>
      </w:r>
      <w:r w:rsidRPr="00C32968">
        <w:rPr>
          <w:sz w:val="24"/>
          <w:szCs w:val="24"/>
        </w:rPr>
        <w:t xml:space="preserve">University </w:t>
      </w:r>
      <w:r w:rsidR="00C32968" w:rsidRPr="00C32968">
        <w:rPr>
          <w:sz w:val="24"/>
          <w:szCs w:val="24"/>
        </w:rPr>
        <w:t>ALY 6010 CRN70841: Probability Theory and     Introductory Statistics</w:t>
      </w:r>
    </w:p>
    <w:p w14:paraId="0DBE02DF" w14:textId="5F108FA3" w:rsidR="00C32968" w:rsidRPr="00C32968" w:rsidRDefault="00C32968" w:rsidP="00C32968">
      <w:pPr>
        <w:pStyle w:val="BodyText"/>
        <w:ind w:left="121" w:right="253"/>
        <w:rPr>
          <w:sz w:val="24"/>
          <w:szCs w:val="24"/>
        </w:rPr>
      </w:pPr>
      <w:r w:rsidRPr="00C32968">
        <w:rPr>
          <w:sz w:val="24"/>
          <w:szCs w:val="24"/>
        </w:rPr>
        <w:t xml:space="preserve">                                                                Dr. Harpreet Sharma</w:t>
      </w:r>
    </w:p>
    <w:p w14:paraId="2018ABEF" w14:textId="77777777" w:rsidR="00FB7EE1" w:rsidRPr="00C32968" w:rsidRDefault="00FB7EE1" w:rsidP="00C32968">
      <w:pPr>
        <w:pStyle w:val="BodyText"/>
        <w:ind w:left="121" w:right="253"/>
        <w:jc w:val="center"/>
        <w:rPr>
          <w:sz w:val="24"/>
          <w:szCs w:val="24"/>
        </w:rPr>
      </w:pPr>
    </w:p>
    <w:p w14:paraId="4E18200F" w14:textId="42917380" w:rsidR="00C32968" w:rsidRPr="00C32968" w:rsidRDefault="00C32968" w:rsidP="00C32968">
      <w:pPr>
        <w:pStyle w:val="BodyText"/>
        <w:ind w:left="121" w:right="253"/>
        <w:rPr>
          <w:sz w:val="24"/>
          <w:szCs w:val="24"/>
        </w:rPr>
        <w:sectPr w:rsidR="00C32968" w:rsidRPr="00C32968">
          <w:headerReference w:type="default" r:id="rId7"/>
          <w:type w:val="continuous"/>
          <w:pgSz w:w="12240" w:h="15840"/>
          <w:pgMar w:top="680" w:right="100" w:bottom="280" w:left="1340" w:header="720" w:footer="720" w:gutter="0"/>
          <w:cols w:space="720"/>
        </w:sectPr>
      </w:pPr>
      <w:r w:rsidRPr="00C32968">
        <w:rPr>
          <w:sz w:val="24"/>
          <w:szCs w:val="24"/>
        </w:rPr>
        <w:t xml:space="preserve">                                                              December 1</w:t>
      </w:r>
      <w:r w:rsidR="007404B3">
        <w:rPr>
          <w:sz w:val="24"/>
          <w:szCs w:val="24"/>
        </w:rPr>
        <w:t>5</w:t>
      </w:r>
      <w:r w:rsidRPr="00C32968">
        <w:rPr>
          <w:sz w:val="24"/>
          <w:szCs w:val="24"/>
        </w:rPr>
        <w:t>, 2023.</w:t>
      </w:r>
    </w:p>
    <w:p w14:paraId="790228C2" w14:textId="77777777" w:rsidR="007404B3" w:rsidRPr="00232BAD" w:rsidRDefault="007404B3" w:rsidP="007404B3">
      <w:pPr>
        <w:spacing w:after="160" w:line="259" w:lineRule="auto"/>
        <w:rPr>
          <w:b/>
          <w:bCs/>
          <w:sz w:val="24"/>
          <w:szCs w:val="24"/>
        </w:rPr>
      </w:pPr>
      <w:r w:rsidRPr="00232BAD">
        <w:rPr>
          <w:b/>
          <w:bCs/>
          <w:sz w:val="24"/>
          <w:szCs w:val="24"/>
        </w:rPr>
        <w:lastRenderedPageBreak/>
        <w:t>Report: Business Analysis of Profitability Factors Across Market Segments</w:t>
      </w:r>
    </w:p>
    <w:p w14:paraId="62E295F5" w14:textId="77777777" w:rsidR="007404B3" w:rsidRPr="00232BAD" w:rsidRDefault="007404B3" w:rsidP="007404B3">
      <w:pPr>
        <w:spacing w:after="160" w:line="259" w:lineRule="auto"/>
        <w:rPr>
          <w:b/>
          <w:bCs/>
          <w:sz w:val="24"/>
          <w:szCs w:val="24"/>
        </w:rPr>
      </w:pPr>
      <w:r w:rsidRPr="00232BAD">
        <w:rPr>
          <w:b/>
          <w:bCs/>
          <w:sz w:val="24"/>
          <w:szCs w:val="24"/>
        </w:rPr>
        <w:t>Executive Summary</w:t>
      </w:r>
    </w:p>
    <w:p w14:paraId="299FBF08" w14:textId="77777777" w:rsidR="007404B3" w:rsidRDefault="007404B3" w:rsidP="007404B3">
      <w:pPr>
        <w:rPr>
          <w:sz w:val="24"/>
          <w:szCs w:val="24"/>
        </w:rPr>
      </w:pPr>
      <w:r w:rsidRPr="00A13B8D">
        <w:rPr>
          <w:sz w:val="24"/>
          <w:szCs w:val="24"/>
        </w:rPr>
        <w:t>This report presents an in-depth analysis of sales and profitability relationships across different sectors using a comprehensive dataset. The primary objectives were to explore the impact of Gross Sales on Profit and to understand the nuanced dynamics between the Government and Non-Government sectors. Statistical analyses, regression modeling, and visual representations were employed to derive insights into sector-specific behaviors and their effects on profitability.</w:t>
      </w:r>
    </w:p>
    <w:p w14:paraId="70706660" w14:textId="77777777" w:rsidR="007404B3" w:rsidRDefault="007404B3" w:rsidP="007404B3">
      <w:pPr>
        <w:rPr>
          <w:sz w:val="24"/>
          <w:szCs w:val="24"/>
        </w:rPr>
      </w:pPr>
    </w:p>
    <w:p w14:paraId="2314743A" w14:textId="77777777" w:rsidR="007404B3" w:rsidRPr="00A13B8D" w:rsidRDefault="007404B3" w:rsidP="007404B3">
      <w:pPr>
        <w:spacing w:after="160" w:line="259" w:lineRule="auto"/>
        <w:rPr>
          <w:b/>
          <w:bCs/>
          <w:sz w:val="24"/>
          <w:szCs w:val="24"/>
        </w:rPr>
      </w:pPr>
      <w:r w:rsidRPr="00A13B8D">
        <w:rPr>
          <w:b/>
          <w:bCs/>
          <w:sz w:val="24"/>
          <w:szCs w:val="24"/>
        </w:rPr>
        <w:t>Data Overview and Initial Findings:</w:t>
      </w:r>
    </w:p>
    <w:p w14:paraId="62BB9894" w14:textId="77777777" w:rsidR="007404B3" w:rsidRPr="00A13B8D" w:rsidRDefault="007404B3" w:rsidP="007404B3">
      <w:pPr>
        <w:spacing w:after="160" w:line="259" w:lineRule="auto"/>
        <w:rPr>
          <w:sz w:val="24"/>
          <w:szCs w:val="24"/>
        </w:rPr>
      </w:pPr>
      <w:r w:rsidRPr="00A13B8D">
        <w:rPr>
          <w:b/>
          <w:bCs/>
          <w:sz w:val="24"/>
          <w:szCs w:val="24"/>
        </w:rPr>
        <w:t>Overview:</w:t>
      </w:r>
    </w:p>
    <w:p w14:paraId="51D958DB" w14:textId="77777777" w:rsidR="007404B3" w:rsidRPr="00A13B8D" w:rsidRDefault="007404B3" w:rsidP="007404B3">
      <w:pPr>
        <w:spacing w:after="160" w:line="259" w:lineRule="auto"/>
        <w:rPr>
          <w:sz w:val="24"/>
          <w:szCs w:val="24"/>
        </w:rPr>
      </w:pPr>
      <w:r w:rsidRPr="00A13B8D">
        <w:rPr>
          <w:sz w:val="24"/>
          <w:szCs w:val="24"/>
        </w:rPr>
        <w:t>The dataset under investigation comprises 700 observations across various segments, countries, products, and pricing attributes. The dataset encompasses several key variables, including Units Sold, Manufacturing Price, Sale Price, Gross Sales, Discounts, Sales, COGS (Cost of Goods Sold), Profit, Date, Month, Year, and Government Sector classification.</w:t>
      </w:r>
    </w:p>
    <w:p w14:paraId="1A32A366" w14:textId="77777777" w:rsidR="007404B3" w:rsidRPr="00A13B8D" w:rsidRDefault="007404B3" w:rsidP="007404B3">
      <w:pPr>
        <w:spacing w:after="160" w:line="259" w:lineRule="auto"/>
        <w:rPr>
          <w:sz w:val="24"/>
          <w:szCs w:val="24"/>
        </w:rPr>
      </w:pPr>
      <w:r w:rsidRPr="00A13B8D">
        <w:rPr>
          <w:sz w:val="24"/>
          <w:szCs w:val="24"/>
        </w:rPr>
        <w:t>Upon initial examination, we observed the following statistics for key numerical variables:</w:t>
      </w:r>
    </w:p>
    <w:p w14:paraId="23B351BB" w14:textId="77777777" w:rsidR="007404B3" w:rsidRPr="00A13B8D" w:rsidRDefault="007404B3" w:rsidP="007404B3">
      <w:pPr>
        <w:widowControl/>
        <w:numPr>
          <w:ilvl w:val="0"/>
          <w:numId w:val="61"/>
        </w:numPr>
        <w:autoSpaceDE/>
        <w:autoSpaceDN/>
        <w:spacing w:after="160" w:line="259" w:lineRule="auto"/>
        <w:rPr>
          <w:sz w:val="24"/>
          <w:szCs w:val="24"/>
        </w:rPr>
      </w:pPr>
      <w:r w:rsidRPr="00A13B8D">
        <w:rPr>
          <w:b/>
          <w:bCs/>
          <w:sz w:val="24"/>
          <w:szCs w:val="24"/>
        </w:rPr>
        <w:t>Units Sold</w:t>
      </w:r>
      <w:r w:rsidRPr="00A13B8D">
        <w:rPr>
          <w:sz w:val="24"/>
          <w:szCs w:val="24"/>
        </w:rPr>
        <w:t>: Ranges from 200 to 4492, with a mean of approximately 1608.</w:t>
      </w:r>
    </w:p>
    <w:p w14:paraId="315325F6" w14:textId="77777777" w:rsidR="007404B3" w:rsidRPr="00A13B8D" w:rsidRDefault="007404B3" w:rsidP="007404B3">
      <w:pPr>
        <w:widowControl/>
        <w:numPr>
          <w:ilvl w:val="0"/>
          <w:numId w:val="61"/>
        </w:numPr>
        <w:autoSpaceDE/>
        <w:autoSpaceDN/>
        <w:spacing w:after="160" w:line="259" w:lineRule="auto"/>
        <w:rPr>
          <w:sz w:val="24"/>
          <w:szCs w:val="24"/>
        </w:rPr>
      </w:pPr>
      <w:r w:rsidRPr="00A13B8D">
        <w:rPr>
          <w:b/>
          <w:bCs/>
          <w:sz w:val="24"/>
          <w:szCs w:val="24"/>
        </w:rPr>
        <w:t>Manufacturing Price</w:t>
      </w:r>
      <w:r w:rsidRPr="00A13B8D">
        <w:rPr>
          <w:sz w:val="24"/>
          <w:szCs w:val="24"/>
        </w:rPr>
        <w:t>: Ranges from $3.00 to $260.00, with a mean of $96.48.</w:t>
      </w:r>
    </w:p>
    <w:p w14:paraId="5DE41C97" w14:textId="77777777" w:rsidR="007404B3" w:rsidRPr="00A13B8D" w:rsidRDefault="007404B3" w:rsidP="007404B3">
      <w:pPr>
        <w:widowControl/>
        <w:numPr>
          <w:ilvl w:val="0"/>
          <w:numId w:val="61"/>
        </w:numPr>
        <w:autoSpaceDE/>
        <w:autoSpaceDN/>
        <w:spacing w:after="160" w:line="259" w:lineRule="auto"/>
        <w:rPr>
          <w:sz w:val="24"/>
          <w:szCs w:val="24"/>
        </w:rPr>
      </w:pPr>
      <w:r w:rsidRPr="00A13B8D">
        <w:rPr>
          <w:b/>
          <w:bCs/>
          <w:sz w:val="24"/>
          <w:szCs w:val="24"/>
        </w:rPr>
        <w:t>Sale Price</w:t>
      </w:r>
      <w:r w:rsidRPr="00A13B8D">
        <w:rPr>
          <w:sz w:val="24"/>
          <w:szCs w:val="24"/>
        </w:rPr>
        <w:t>: Spans from $7.0 to $350.0, with an average of $118.4.</w:t>
      </w:r>
    </w:p>
    <w:p w14:paraId="1329BEF9" w14:textId="77777777" w:rsidR="007404B3" w:rsidRPr="00A13B8D" w:rsidRDefault="007404B3" w:rsidP="007404B3">
      <w:pPr>
        <w:widowControl/>
        <w:numPr>
          <w:ilvl w:val="0"/>
          <w:numId w:val="61"/>
        </w:numPr>
        <w:autoSpaceDE/>
        <w:autoSpaceDN/>
        <w:spacing w:after="160" w:line="259" w:lineRule="auto"/>
        <w:rPr>
          <w:sz w:val="24"/>
          <w:szCs w:val="24"/>
        </w:rPr>
      </w:pPr>
      <w:r w:rsidRPr="00A13B8D">
        <w:rPr>
          <w:b/>
          <w:bCs/>
          <w:sz w:val="24"/>
          <w:szCs w:val="24"/>
        </w:rPr>
        <w:t>Gross Sales</w:t>
      </w:r>
      <w:r w:rsidRPr="00A13B8D">
        <w:rPr>
          <w:sz w:val="24"/>
          <w:szCs w:val="24"/>
        </w:rPr>
        <w:t>: Varies from $1799 to $1,207,500, averaging approximately $182,759.</w:t>
      </w:r>
    </w:p>
    <w:p w14:paraId="4390226F" w14:textId="77777777" w:rsidR="007404B3" w:rsidRPr="00A13B8D" w:rsidRDefault="007404B3" w:rsidP="007404B3">
      <w:pPr>
        <w:widowControl/>
        <w:numPr>
          <w:ilvl w:val="0"/>
          <w:numId w:val="61"/>
        </w:numPr>
        <w:autoSpaceDE/>
        <w:autoSpaceDN/>
        <w:spacing w:after="160" w:line="259" w:lineRule="auto"/>
        <w:rPr>
          <w:sz w:val="24"/>
          <w:szCs w:val="24"/>
        </w:rPr>
      </w:pPr>
      <w:r w:rsidRPr="00A13B8D">
        <w:rPr>
          <w:b/>
          <w:bCs/>
          <w:sz w:val="24"/>
          <w:szCs w:val="24"/>
        </w:rPr>
        <w:t>Discounts</w:t>
      </w:r>
      <w:r w:rsidRPr="00A13B8D">
        <w:rPr>
          <w:sz w:val="24"/>
          <w:szCs w:val="24"/>
        </w:rPr>
        <w:t>: Varying from $18.41 to $149,677.50, with an average of $14,227.59.</w:t>
      </w:r>
    </w:p>
    <w:p w14:paraId="0B85DD36" w14:textId="77777777" w:rsidR="007404B3" w:rsidRPr="00A13B8D" w:rsidRDefault="007404B3" w:rsidP="007404B3">
      <w:pPr>
        <w:widowControl/>
        <w:numPr>
          <w:ilvl w:val="0"/>
          <w:numId w:val="61"/>
        </w:numPr>
        <w:autoSpaceDE/>
        <w:autoSpaceDN/>
        <w:spacing w:after="160" w:line="259" w:lineRule="auto"/>
        <w:rPr>
          <w:sz w:val="24"/>
          <w:szCs w:val="24"/>
        </w:rPr>
      </w:pPr>
      <w:r w:rsidRPr="00A13B8D">
        <w:rPr>
          <w:b/>
          <w:bCs/>
          <w:sz w:val="24"/>
          <w:szCs w:val="24"/>
        </w:rPr>
        <w:t>Profit</w:t>
      </w:r>
      <w:r w:rsidRPr="00A13B8D">
        <w:rPr>
          <w:sz w:val="24"/>
          <w:szCs w:val="24"/>
        </w:rPr>
        <w:t>: Extends from $285.60 to $262,200.0, with a mean of $27,741.0.</w:t>
      </w:r>
    </w:p>
    <w:p w14:paraId="29840EC6" w14:textId="77777777" w:rsidR="007404B3" w:rsidRPr="00A13B8D" w:rsidRDefault="007404B3" w:rsidP="007404B3">
      <w:pPr>
        <w:spacing w:after="160" w:line="259" w:lineRule="auto"/>
        <w:rPr>
          <w:sz w:val="24"/>
          <w:szCs w:val="24"/>
        </w:rPr>
      </w:pPr>
      <w:r w:rsidRPr="00A13B8D">
        <w:rPr>
          <w:b/>
          <w:bCs/>
          <w:sz w:val="24"/>
          <w:szCs w:val="24"/>
        </w:rPr>
        <w:t>Initial Findings:</w:t>
      </w:r>
    </w:p>
    <w:p w14:paraId="4A379793" w14:textId="77777777" w:rsidR="007404B3" w:rsidRPr="00A13B8D" w:rsidRDefault="007404B3" w:rsidP="007404B3">
      <w:pPr>
        <w:widowControl/>
        <w:numPr>
          <w:ilvl w:val="0"/>
          <w:numId w:val="62"/>
        </w:numPr>
        <w:autoSpaceDE/>
        <w:autoSpaceDN/>
        <w:spacing w:after="160" w:line="259" w:lineRule="auto"/>
        <w:rPr>
          <w:sz w:val="24"/>
          <w:szCs w:val="24"/>
        </w:rPr>
      </w:pPr>
      <w:r w:rsidRPr="00A13B8D">
        <w:rPr>
          <w:b/>
          <w:bCs/>
          <w:sz w:val="24"/>
          <w:szCs w:val="24"/>
        </w:rPr>
        <w:t>Relationship Assessment:</w:t>
      </w:r>
    </w:p>
    <w:p w14:paraId="51BEAD7B" w14:textId="77777777" w:rsidR="007404B3" w:rsidRPr="00A13B8D" w:rsidRDefault="007404B3" w:rsidP="007404B3">
      <w:pPr>
        <w:widowControl/>
        <w:numPr>
          <w:ilvl w:val="1"/>
          <w:numId w:val="62"/>
        </w:numPr>
        <w:autoSpaceDE/>
        <w:autoSpaceDN/>
        <w:spacing w:after="160" w:line="259" w:lineRule="auto"/>
        <w:rPr>
          <w:sz w:val="24"/>
          <w:szCs w:val="24"/>
        </w:rPr>
      </w:pPr>
      <w:r w:rsidRPr="00A13B8D">
        <w:rPr>
          <w:sz w:val="24"/>
          <w:szCs w:val="24"/>
        </w:rPr>
        <w:t>A linear regression analysis was conducted to explore the association between Profit and Gross Sales. The analysis revealed a statistically significant positive relationship (p &lt; 0.001) between these variables. For every unit increase in Gross Sales, the Profit increased by an estimated 0.138 units (with a 95% confidence interval).</w:t>
      </w:r>
    </w:p>
    <w:p w14:paraId="1B1221AD" w14:textId="77777777" w:rsidR="007404B3" w:rsidRPr="00A13B8D" w:rsidRDefault="007404B3" w:rsidP="007404B3">
      <w:pPr>
        <w:widowControl/>
        <w:numPr>
          <w:ilvl w:val="0"/>
          <w:numId w:val="62"/>
        </w:numPr>
        <w:autoSpaceDE/>
        <w:autoSpaceDN/>
        <w:spacing w:after="160" w:line="259" w:lineRule="auto"/>
        <w:rPr>
          <w:sz w:val="24"/>
          <w:szCs w:val="24"/>
        </w:rPr>
      </w:pPr>
      <w:r w:rsidRPr="00A13B8D">
        <w:rPr>
          <w:b/>
          <w:bCs/>
          <w:sz w:val="24"/>
          <w:szCs w:val="24"/>
        </w:rPr>
        <w:t>Impact of Government Sector:</w:t>
      </w:r>
    </w:p>
    <w:p w14:paraId="21A2A318" w14:textId="77777777" w:rsidR="007404B3" w:rsidRPr="00A13B8D" w:rsidRDefault="007404B3" w:rsidP="007404B3">
      <w:pPr>
        <w:widowControl/>
        <w:numPr>
          <w:ilvl w:val="1"/>
          <w:numId w:val="62"/>
        </w:numPr>
        <w:autoSpaceDE/>
        <w:autoSpaceDN/>
        <w:spacing w:after="160" w:line="259" w:lineRule="auto"/>
        <w:rPr>
          <w:sz w:val="24"/>
          <w:szCs w:val="24"/>
        </w:rPr>
      </w:pPr>
      <w:proofErr w:type="gramStart"/>
      <w:r w:rsidRPr="00A13B8D">
        <w:rPr>
          <w:sz w:val="24"/>
          <w:szCs w:val="24"/>
        </w:rPr>
        <w:t>Upon creating a dummy variable for the Government Sector, it</w:t>
      </w:r>
      <w:proofErr w:type="gramEnd"/>
      <w:r w:rsidRPr="00A13B8D">
        <w:rPr>
          <w:sz w:val="24"/>
          <w:szCs w:val="24"/>
        </w:rPr>
        <w:t xml:space="preserve"> was identified that the Government Sector had a notable impact on Profit. The Government Sector showed a significant positive coefficient (p &lt; 0.001) with an estimated increase of $17,024 in Profit compared to other sectors.</w:t>
      </w:r>
    </w:p>
    <w:p w14:paraId="7757A0DD" w14:textId="77777777" w:rsidR="007404B3" w:rsidRPr="00A13B8D" w:rsidRDefault="007404B3" w:rsidP="007404B3">
      <w:pPr>
        <w:widowControl/>
        <w:numPr>
          <w:ilvl w:val="0"/>
          <w:numId w:val="62"/>
        </w:numPr>
        <w:autoSpaceDE/>
        <w:autoSpaceDN/>
        <w:spacing w:after="160" w:line="259" w:lineRule="auto"/>
        <w:rPr>
          <w:sz w:val="24"/>
          <w:szCs w:val="24"/>
        </w:rPr>
      </w:pPr>
      <w:r w:rsidRPr="00A13B8D">
        <w:rPr>
          <w:b/>
          <w:bCs/>
          <w:sz w:val="24"/>
          <w:szCs w:val="24"/>
        </w:rPr>
        <w:t>Subset Analysis:</w:t>
      </w:r>
    </w:p>
    <w:p w14:paraId="77C3339F" w14:textId="77777777" w:rsidR="007404B3" w:rsidRPr="00A13B8D" w:rsidRDefault="007404B3" w:rsidP="007404B3">
      <w:pPr>
        <w:widowControl/>
        <w:numPr>
          <w:ilvl w:val="1"/>
          <w:numId w:val="62"/>
        </w:numPr>
        <w:autoSpaceDE/>
        <w:autoSpaceDN/>
        <w:spacing w:after="160" w:line="259" w:lineRule="auto"/>
        <w:rPr>
          <w:sz w:val="24"/>
          <w:szCs w:val="24"/>
        </w:rPr>
      </w:pPr>
      <w:r w:rsidRPr="00A13B8D">
        <w:rPr>
          <w:sz w:val="24"/>
          <w:szCs w:val="24"/>
        </w:rPr>
        <w:lastRenderedPageBreak/>
        <w:t>A subset analysis was conducted distinguishing between Government and other sectors. Profits generated by the Government Sector were notably higher than those from other sectors, signifying a potential influence on Profitability based on the sector classification.</w:t>
      </w:r>
    </w:p>
    <w:p w14:paraId="16A045FD" w14:textId="77777777" w:rsidR="007404B3" w:rsidRPr="00A13B8D" w:rsidRDefault="007404B3" w:rsidP="007404B3">
      <w:pPr>
        <w:widowControl/>
        <w:numPr>
          <w:ilvl w:val="0"/>
          <w:numId w:val="62"/>
        </w:numPr>
        <w:autoSpaceDE/>
        <w:autoSpaceDN/>
        <w:spacing w:after="160" w:line="259" w:lineRule="auto"/>
        <w:rPr>
          <w:sz w:val="24"/>
          <w:szCs w:val="24"/>
        </w:rPr>
      </w:pPr>
      <w:r w:rsidRPr="00A13B8D">
        <w:rPr>
          <w:b/>
          <w:bCs/>
          <w:sz w:val="24"/>
          <w:szCs w:val="24"/>
        </w:rPr>
        <w:t>Scatterplots and Regression Lines:</w:t>
      </w:r>
    </w:p>
    <w:p w14:paraId="1DA9ABB1" w14:textId="77777777" w:rsidR="007404B3" w:rsidRDefault="007404B3" w:rsidP="007404B3">
      <w:pPr>
        <w:widowControl/>
        <w:numPr>
          <w:ilvl w:val="1"/>
          <w:numId w:val="62"/>
        </w:numPr>
        <w:autoSpaceDE/>
        <w:autoSpaceDN/>
        <w:spacing w:after="160" w:line="259" w:lineRule="auto"/>
        <w:rPr>
          <w:sz w:val="24"/>
          <w:szCs w:val="24"/>
        </w:rPr>
      </w:pPr>
      <w:r w:rsidRPr="00A13B8D">
        <w:rPr>
          <w:sz w:val="24"/>
          <w:szCs w:val="24"/>
        </w:rPr>
        <w:t>Scatterplots with regression lines were generated to visualize the relationship between Gross Sales and Profit for different sector subsets. The analysis indicated variations in the relationship between Gross Sales and Profit across the Government and other sectors, suggesting potential differences in the impact of Gross Sales on Profitability based on the sector.</w:t>
      </w:r>
    </w:p>
    <w:p w14:paraId="112C624C" w14:textId="77777777" w:rsidR="007404B3" w:rsidRPr="00A13B8D" w:rsidRDefault="007404B3" w:rsidP="007404B3"/>
    <w:p w14:paraId="6EC3AB8A" w14:textId="77777777" w:rsidR="007404B3" w:rsidRPr="00C51FCD" w:rsidRDefault="007404B3" w:rsidP="007404B3">
      <w:pPr>
        <w:spacing w:after="160" w:line="259" w:lineRule="auto"/>
        <w:rPr>
          <w:b/>
          <w:bCs/>
          <w:sz w:val="24"/>
          <w:szCs w:val="24"/>
        </w:rPr>
      </w:pPr>
      <w:r w:rsidRPr="00C51FCD">
        <w:rPr>
          <w:b/>
          <w:bCs/>
          <w:sz w:val="24"/>
          <w:szCs w:val="24"/>
        </w:rPr>
        <w:t>Segment-Specific Analysis - Government Sector and Other Sectors Insights:</w:t>
      </w:r>
    </w:p>
    <w:p w14:paraId="6398B43B" w14:textId="77777777" w:rsidR="007404B3" w:rsidRPr="00C51FCD" w:rsidRDefault="007404B3" w:rsidP="007404B3">
      <w:pPr>
        <w:spacing w:after="160" w:line="259" w:lineRule="auto"/>
        <w:rPr>
          <w:b/>
          <w:bCs/>
          <w:sz w:val="24"/>
          <w:szCs w:val="24"/>
        </w:rPr>
      </w:pPr>
      <w:r w:rsidRPr="00C51FCD">
        <w:rPr>
          <w:b/>
          <w:bCs/>
          <w:sz w:val="24"/>
          <w:szCs w:val="24"/>
        </w:rPr>
        <w:t>Overview:</w:t>
      </w:r>
    </w:p>
    <w:p w14:paraId="7447393C" w14:textId="77777777" w:rsidR="007404B3" w:rsidRPr="00C51FCD" w:rsidRDefault="007404B3" w:rsidP="007404B3">
      <w:pPr>
        <w:spacing w:after="160" w:line="259" w:lineRule="auto"/>
        <w:rPr>
          <w:sz w:val="24"/>
          <w:szCs w:val="24"/>
        </w:rPr>
      </w:pPr>
      <w:r w:rsidRPr="00C51FCD">
        <w:rPr>
          <w:sz w:val="24"/>
          <w:szCs w:val="24"/>
        </w:rPr>
        <w:t>The Government Sector encompasses 300 observations, representing transactions associated with government entities across various products and regions. In contrast, Other Sectors consist of 400 instances, reflecting diverse non-governmental entities across similar product categories and regions.</w:t>
      </w:r>
    </w:p>
    <w:p w14:paraId="6B6BB206" w14:textId="77777777" w:rsidR="007404B3" w:rsidRPr="00C51FCD" w:rsidRDefault="007404B3" w:rsidP="007404B3">
      <w:pPr>
        <w:spacing w:after="160" w:line="259" w:lineRule="auto"/>
        <w:rPr>
          <w:b/>
          <w:bCs/>
          <w:sz w:val="24"/>
          <w:szCs w:val="24"/>
        </w:rPr>
      </w:pPr>
      <w:r w:rsidRPr="00C51FCD">
        <w:rPr>
          <w:b/>
          <w:bCs/>
          <w:sz w:val="24"/>
          <w:szCs w:val="24"/>
        </w:rPr>
        <w:t>Key Findings:</w:t>
      </w:r>
    </w:p>
    <w:p w14:paraId="1D997A81" w14:textId="77777777" w:rsidR="007404B3" w:rsidRPr="00C51FCD" w:rsidRDefault="007404B3" w:rsidP="007404B3">
      <w:pPr>
        <w:spacing w:after="160" w:line="259" w:lineRule="auto"/>
        <w:rPr>
          <w:b/>
          <w:bCs/>
          <w:sz w:val="24"/>
          <w:szCs w:val="24"/>
        </w:rPr>
      </w:pPr>
      <w:r w:rsidRPr="00C51FCD">
        <w:rPr>
          <w:b/>
          <w:bCs/>
          <w:sz w:val="24"/>
          <w:szCs w:val="24"/>
        </w:rPr>
        <w:t>Profitability Comparison:</w:t>
      </w:r>
    </w:p>
    <w:p w14:paraId="23FD771D" w14:textId="77777777" w:rsidR="007404B3" w:rsidRPr="00C51FCD" w:rsidRDefault="007404B3" w:rsidP="007404B3">
      <w:pPr>
        <w:widowControl/>
        <w:numPr>
          <w:ilvl w:val="0"/>
          <w:numId w:val="63"/>
        </w:numPr>
        <w:autoSpaceDE/>
        <w:autoSpaceDN/>
        <w:spacing w:after="160" w:line="259" w:lineRule="auto"/>
        <w:rPr>
          <w:sz w:val="24"/>
          <w:szCs w:val="24"/>
        </w:rPr>
      </w:pPr>
      <w:r w:rsidRPr="00C51FCD">
        <w:rPr>
          <w:sz w:val="24"/>
          <w:szCs w:val="24"/>
        </w:rPr>
        <w:t>Government Sector: Profitability ranges widely within the Government Sector, spanning from $285.60 to $262,200.0, showcasing substantial variations.</w:t>
      </w:r>
    </w:p>
    <w:p w14:paraId="4DCF5B9E" w14:textId="77777777" w:rsidR="007404B3" w:rsidRPr="00C51FCD" w:rsidRDefault="007404B3" w:rsidP="007404B3">
      <w:pPr>
        <w:widowControl/>
        <w:numPr>
          <w:ilvl w:val="0"/>
          <w:numId w:val="63"/>
        </w:numPr>
        <w:autoSpaceDE/>
        <w:autoSpaceDN/>
        <w:spacing w:after="160" w:line="259" w:lineRule="auto"/>
        <w:rPr>
          <w:sz w:val="24"/>
          <w:szCs w:val="24"/>
        </w:rPr>
      </w:pPr>
      <w:r w:rsidRPr="00C51FCD">
        <w:rPr>
          <w:sz w:val="24"/>
          <w:szCs w:val="24"/>
        </w:rPr>
        <w:t>Other Sectors: Profitability ranges between $806.20 and $136,535.0 within Other Sectors, indicating a narrower but consistent spread.</w:t>
      </w:r>
    </w:p>
    <w:p w14:paraId="26FA8C33" w14:textId="77777777" w:rsidR="007404B3" w:rsidRPr="00C51FCD" w:rsidRDefault="007404B3" w:rsidP="007404B3">
      <w:pPr>
        <w:spacing w:after="160" w:line="259" w:lineRule="auto"/>
        <w:rPr>
          <w:b/>
          <w:bCs/>
          <w:sz w:val="24"/>
          <w:szCs w:val="24"/>
        </w:rPr>
      </w:pPr>
      <w:r w:rsidRPr="00C51FCD">
        <w:rPr>
          <w:b/>
          <w:bCs/>
          <w:sz w:val="24"/>
          <w:szCs w:val="24"/>
        </w:rPr>
        <w:t>Gross Sales and Profit Relationship:</w:t>
      </w:r>
    </w:p>
    <w:p w14:paraId="74E14529" w14:textId="77777777" w:rsidR="007404B3" w:rsidRPr="00C51FCD" w:rsidRDefault="007404B3" w:rsidP="007404B3">
      <w:pPr>
        <w:widowControl/>
        <w:numPr>
          <w:ilvl w:val="0"/>
          <w:numId w:val="64"/>
        </w:numPr>
        <w:autoSpaceDE/>
        <w:autoSpaceDN/>
        <w:spacing w:after="160" w:line="259" w:lineRule="auto"/>
        <w:rPr>
          <w:sz w:val="24"/>
          <w:szCs w:val="24"/>
        </w:rPr>
      </w:pPr>
      <w:r w:rsidRPr="00C51FCD">
        <w:rPr>
          <w:sz w:val="24"/>
          <w:szCs w:val="24"/>
        </w:rPr>
        <w:t>Government Sector: The regression analysis highlights a strong positive relationship between Gross Sales and Profit (p &lt; 0.001), where a unit increase in Gross Sales corresponds to an approximate $0.1882 increase in Profit.</w:t>
      </w:r>
    </w:p>
    <w:p w14:paraId="01271E6C" w14:textId="77777777" w:rsidR="007404B3" w:rsidRPr="00C51FCD" w:rsidRDefault="007404B3" w:rsidP="007404B3">
      <w:pPr>
        <w:widowControl/>
        <w:numPr>
          <w:ilvl w:val="0"/>
          <w:numId w:val="64"/>
        </w:numPr>
        <w:autoSpaceDE/>
        <w:autoSpaceDN/>
        <w:spacing w:after="160" w:line="259" w:lineRule="auto"/>
        <w:rPr>
          <w:sz w:val="24"/>
          <w:szCs w:val="24"/>
        </w:rPr>
      </w:pPr>
      <w:r w:rsidRPr="00C51FCD">
        <w:rPr>
          <w:sz w:val="24"/>
          <w:szCs w:val="24"/>
        </w:rPr>
        <w:t>Other Sectors: Similar analysis reveals a significant albeit slightly less pronounced relationship between Gross Sales and Profit within Other Sectors.</w:t>
      </w:r>
    </w:p>
    <w:p w14:paraId="54C6D7B2" w14:textId="77777777" w:rsidR="007404B3" w:rsidRPr="00C51FCD" w:rsidRDefault="007404B3" w:rsidP="007404B3">
      <w:pPr>
        <w:spacing w:after="160" w:line="259" w:lineRule="auto"/>
        <w:rPr>
          <w:b/>
          <w:bCs/>
          <w:sz w:val="24"/>
          <w:szCs w:val="24"/>
        </w:rPr>
      </w:pPr>
      <w:r w:rsidRPr="00C51FCD">
        <w:rPr>
          <w:b/>
          <w:bCs/>
          <w:sz w:val="24"/>
          <w:szCs w:val="24"/>
        </w:rPr>
        <w:t>Sector-Wise Comparison:</w:t>
      </w:r>
    </w:p>
    <w:p w14:paraId="6B4DA5EC" w14:textId="77777777" w:rsidR="007404B3" w:rsidRPr="00C51FCD" w:rsidRDefault="007404B3" w:rsidP="007404B3">
      <w:pPr>
        <w:widowControl/>
        <w:numPr>
          <w:ilvl w:val="0"/>
          <w:numId w:val="65"/>
        </w:numPr>
        <w:autoSpaceDE/>
        <w:autoSpaceDN/>
        <w:spacing w:after="160" w:line="259" w:lineRule="auto"/>
        <w:rPr>
          <w:sz w:val="24"/>
          <w:szCs w:val="24"/>
        </w:rPr>
      </w:pPr>
      <w:r w:rsidRPr="00C51FCD">
        <w:rPr>
          <w:sz w:val="24"/>
          <w:szCs w:val="24"/>
        </w:rPr>
        <w:t>The mean Profit in the Government Sector ($37,960.6) is notably higher than that in Other Sectors ($18,643.5), suggesting potentially higher profitability within government-associated transactions.</w:t>
      </w:r>
    </w:p>
    <w:p w14:paraId="1CE3475F" w14:textId="77777777" w:rsidR="007404B3" w:rsidRPr="00C51FCD" w:rsidRDefault="007404B3" w:rsidP="007404B3">
      <w:pPr>
        <w:spacing w:after="160" w:line="259" w:lineRule="auto"/>
        <w:rPr>
          <w:b/>
          <w:bCs/>
          <w:sz w:val="24"/>
          <w:szCs w:val="24"/>
        </w:rPr>
      </w:pPr>
      <w:r w:rsidRPr="00C51FCD">
        <w:rPr>
          <w:b/>
          <w:bCs/>
          <w:sz w:val="24"/>
          <w:szCs w:val="24"/>
        </w:rPr>
        <w:t>Regression Line Analysis:</w:t>
      </w:r>
    </w:p>
    <w:p w14:paraId="5635CC12" w14:textId="77777777" w:rsidR="007404B3" w:rsidRDefault="007404B3" w:rsidP="007404B3">
      <w:pPr>
        <w:keepNext/>
        <w:ind w:left="720"/>
      </w:pPr>
      <w:r>
        <w:rPr>
          <w:noProof/>
          <w:sz w:val="24"/>
          <w:szCs w:val="24"/>
        </w:rPr>
        <w:lastRenderedPageBreak/>
        <w:drawing>
          <wp:inline distT="0" distB="0" distL="0" distR="0" wp14:anchorId="3E7B38D6" wp14:editId="18402E3B">
            <wp:extent cx="4171950" cy="346554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0267" cy="3472453"/>
                    </a:xfrm>
                    <a:prstGeom prst="rect">
                      <a:avLst/>
                    </a:prstGeom>
                    <a:noFill/>
                  </pic:spPr>
                </pic:pic>
              </a:graphicData>
            </a:graphic>
          </wp:inline>
        </w:drawing>
      </w:r>
    </w:p>
    <w:p w14:paraId="68E2B018" w14:textId="77777777" w:rsidR="007404B3" w:rsidRDefault="007404B3" w:rsidP="007404B3">
      <w:pPr>
        <w:pStyle w:val="Caption"/>
        <w:rPr>
          <w:sz w:val="24"/>
          <w:szCs w:val="24"/>
        </w:rPr>
      </w:pPr>
      <w:r>
        <w:t xml:space="preserve">Figure </w:t>
      </w:r>
      <w:r>
        <w:fldChar w:fldCharType="begin"/>
      </w:r>
      <w:r>
        <w:instrText xml:space="preserve"> SEQ Figure \* ARABIC </w:instrText>
      </w:r>
      <w:r>
        <w:fldChar w:fldCharType="separate"/>
      </w:r>
      <w:r>
        <w:rPr>
          <w:noProof/>
        </w:rPr>
        <w:t>1</w:t>
      </w:r>
      <w:r>
        <w:fldChar w:fldCharType="end"/>
      </w:r>
    </w:p>
    <w:p w14:paraId="5B8A7597" w14:textId="77777777" w:rsidR="007404B3" w:rsidRDefault="007404B3" w:rsidP="007404B3">
      <w:pPr>
        <w:ind w:left="720"/>
        <w:rPr>
          <w:sz w:val="24"/>
          <w:szCs w:val="24"/>
        </w:rPr>
      </w:pPr>
      <w:r w:rsidRPr="001D1F8C">
        <w:rPr>
          <w:sz w:val="24"/>
          <w:szCs w:val="24"/>
        </w:rPr>
        <w:t>The plotted data</w:t>
      </w:r>
      <w:r>
        <w:rPr>
          <w:sz w:val="24"/>
          <w:szCs w:val="24"/>
        </w:rPr>
        <w:t xml:space="preserve"> from Figure 1</w:t>
      </w:r>
      <w:r w:rsidRPr="001D1F8C">
        <w:rPr>
          <w:sz w:val="24"/>
          <w:szCs w:val="24"/>
        </w:rPr>
        <w:t xml:space="preserve"> reveals the relationship between Gross Sales and Profit in both the Government Sector (red dots) and Other Sectors (blue dots). Comparing the regression lines, the steeper slope of the Government Sector's line indicates a stronger correlation between Gross Sales and Profit within that sector. This suggests that for a given increase in Gross Sales, the Government Sector experiences a more substantial rise in Profit compared to Other Sectors. In contrast, the shallower slope of </w:t>
      </w:r>
      <w:r>
        <w:rPr>
          <w:sz w:val="24"/>
          <w:szCs w:val="24"/>
        </w:rPr>
        <w:t xml:space="preserve">the </w:t>
      </w:r>
      <w:r w:rsidRPr="001D1F8C">
        <w:rPr>
          <w:sz w:val="24"/>
          <w:szCs w:val="24"/>
        </w:rPr>
        <w:t>Other Sectors' line implies a weaker association between these variables within that sector. Therefore, the visualization emphasizes a more pronounced and impactful relationship between Gross Sales and Profit specifically within the Government Sector dataset.</w:t>
      </w:r>
    </w:p>
    <w:p w14:paraId="69CDF8C5" w14:textId="77777777" w:rsidR="007404B3" w:rsidRDefault="007404B3" w:rsidP="007404B3">
      <w:pPr>
        <w:keepNext/>
        <w:ind w:left="720"/>
      </w:pPr>
      <w:r>
        <w:rPr>
          <w:noProof/>
          <w:sz w:val="24"/>
          <w:szCs w:val="24"/>
        </w:rPr>
        <w:lastRenderedPageBreak/>
        <w:drawing>
          <wp:inline distT="0" distB="0" distL="0" distR="0" wp14:anchorId="713A41A8" wp14:editId="62F5BB05">
            <wp:extent cx="3413760" cy="2979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3760" cy="2979420"/>
                    </a:xfrm>
                    <a:prstGeom prst="rect">
                      <a:avLst/>
                    </a:prstGeom>
                    <a:noFill/>
                  </pic:spPr>
                </pic:pic>
              </a:graphicData>
            </a:graphic>
          </wp:inline>
        </w:drawing>
      </w:r>
    </w:p>
    <w:p w14:paraId="1DCD9262" w14:textId="77777777" w:rsidR="007404B3" w:rsidRDefault="007404B3" w:rsidP="007404B3">
      <w:pPr>
        <w:pStyle w:val="Caption"/>
        <w:rPr>
          <w:sz w:val="24"/>
          <w:szCs w:val="24"/>
        </w:rPr>
      </w:pPr>
      <w:r>
        <w:t xml:space="preserve">Figure </w:t>
      </w:r>
      <w:r>
        <w:fldChar w:fldCharType="begin"/>
      </w:r>
      <w:r>
        <w:instrText xml:space="preserve"> SEQ Figure \* ARABIC </w:instrText>
      </w:r>
      <w:r>
        <w:fldChar w:fldCharType="separate"/>
      </w:r>
      <w:r>
        <w:rPr>
          <w:noProof/>
        </w:rPr>
        <w:t>2</w:t>
      </w:r>
      <w:r>
        <w:fldChar w:fldCharType="end"/>
      </w:r>
    </w:p>
    <w:p w14:paraId="727573E5" w14:textId="77777777" w:rsidR="007404B3" w:rsidRPr="00EE5DCA" w:rsidRDefault="007404B3" w:rsidP="007404B3">
      <w:pPr>
        <w:spacing w:after="160" w:line="259" w:lineRule="auto"/>
        <w:ind w:left="720"/>
        <w:rPr>
          <w:sz w:val="24"/>
          <w:szCs w:val="24"/>
        </w:rPr>
      </w:pPr>
      <w:r w:rsidRPr="00EE5DCA">
        <w:rPr>
          <w:sz w:val="24"/>
          <w:szCs w:val="24"/>
        </w:rPr>
        <w:t>Figure 2 reveals an insightful pattern in the Government Sector's Profit and Gross Sales relationship. The regression line equation, Profit = -4724.69 + 0.1365 * Gross Sales, indicates that an increase in Gross Sales by one unit correlates with a Profit rise of about $0.1365.</w:t>
      </w:r>
    </w:p>
    <w:p w14:paraId="1EEBFE2C" w14:textId="77777777" w:rsidR="007404B3" w:rsidRPr="00EE5DCA" w:rsidRDefault="007404B3" w:rsidP="007404B3">
      <w:pPr>
        <w:spacing w:after="160" w:line="259" w:lineRule="auto"/>
        <w:ind w:left="720"/>
        <w:rPr>
          <w:sz w:val="24"/>
          <w:szCs w:val="24"/>
        </w:rPr>
      </w:pPr>
      <w:r w:rsidRPr="00EE5DCA">
        <w:rPr>
          <w:sz w:val="24"/>
          <w:szCs w:val="24"/>
        </w:rPr>
        <w:t>The distinctive intercept, notably higher for the Government Sector at 17023.96, suggests a stronger starting point for Profit compared to Other Sectors. This hints at potentially more profitable transactions within the Government Sector.</w:t>
      </w:r>
    </w:p>
    <w:p w14:paraId="5E8299B3" w14:textId="77777777" w:rsidR="007404B3" w:rsidRDefault="007404B3" w:rsidP="007404B3">
      <w:pPr>
        <w:ind w:left="720"/>
        <w:rPr>
          <w:sz w:val="24"/>
          <w:szCs w:val="24"/>
        </w:rPr>
      </w:pPr>
      <w:r w:rsidRPr="00EE5DCA">
        <w:rPr>
          <w:sz w:val="24"/>
          <w:szCs w:val="24"/>
        </w:rPr>
        <w:t>The line's upward slope signifies a robust link between Gross Sales and Profit in the Government Sector. The steeper incline highlights the potential for significant Profit gains by boosting Gross Sales, revealing lucrative opportunities for revenue maximization within this sector.</w:t>
      </w:r>
    </w:p>
    <w:p w14:paraId="534F5F50" w14:textId="77777777" w:rsidR="007404B3" w:rsidRDefault="007404B3" w:rsidP="007404B3">
      <w:pPr>
        <w:keepNext/>
        <w:ind w:left="720"/>
      </w:pPr>
      <w:r>
        <w:rPr>
          <w:noProof/>
          <w:sz w:val="24"/>
          <w:szCs w:val="24"/>
        </w:rPr>
        <w:lastRenderedPageBreak/>
        <w:drawing>
          <wp:inline distT="0" distB="0" distL="0" distR="0" wp14:anchorId="0814ABBA" wp14:editId="1C0CAA2E">
            <wp:extent cx="4762500" cy="3971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971925"/>
                    </a:xfrm>
                    <a:prstGeom prst="rect">
                      <a:avLst/>
                    </a:prstGeom>
                    <a:noFill/>
                  </pic:spPr>
                </pic:pic>
              </a:graphicData>
            </a:graphic>
          </wp:inline>
        </w:drawing>
      </w:r>
    </w:p>
    <w:p w14:paraId="2708607F" w14:textId="77777777" w:rsidR="007404B3" w:rsidRDefault="007404B3" w:rsidP="007404B3">
      <w:pPr>
        <w:pStyle w:val="Caption"/>
        <w:rPr>
          <w:sz w:val="24"/>
          <w:szCs w:val="24"/>
        </w:rPr>
      </w:pPr>
      <w:r>
        <w:t xml:space="preserve">Figure </w:t>
      </w:r>
      <w:r>
        <w:fldChar w:fldCharType="begin"/>
      </w:r>
      <w:r>
        <w:instrText xml:space="preserve"> SEQ Figure \* ARABIC </w:instrText>
      </w:r>
      <w:r>
        <w:fldChar w:fldCharType="separate"/>
      </w:r>
      <w:r>
        <w:rPr>
          <w:noProof/>
        </w:rPr>
        <w:t>3</w:t>
      </w:r>
      <w:r>
        <w:fldChar w:fldCharType="end"/>
      </w:r>
    </w:p>
    <w:p w14:paraId="076AB937" w14:textId="77777777" w:rsidR="007404B3" w:rsidRPr="00EE5DCA" w:rsidRDefault="007404B3" w:rsidP="007404B3">
      <w:pPr>
        <w:spacing w:after="160" w:line="259" w:lineRule="auto"/>
        <w:ind w:left="720"/>
        <w:rPr>
          <w:sz w:val="24"/>
          <w:szCs w:val="24"/>
        </w:rPr>
      </w:pPr>
      <w:r w:rsidRPr="00EE5DCA">
        <w:rPr>
          <w:sz w:val="24"/>
          <w:szCs w:val="24"/>
        </w:rPr>
        <w:t xml:space="preserve">Figure </w:t>
      </w:r>
      <w:r>
        <w:rPr>
          <w:sz w:val="24"/>
          <w:szCs w:val="24"/>
        </w:rPr>
        <w:t>3</w:t>
      </w:r>
      <w:r w:rsidRPr="00EE5DCA">
        <w:rPr>
          <w:sz w:val="24"/>
          <w:szCs w:val="24"/>
        </w:rPr>
        <w:t xml:space="preserve"> unravels the dynamics between Profit and Gross Sales within the Other Sectors. The regression line's equation, Profit = 5977 + 0.07398 * Gross Sales, showcases that for every unit increase in Gross Sales, the Profit ascends by about $0.07398.</w:t>
      </w:r>
    </w:p>
    <w:p w14:paraId="245014A0" w14:textId="77777777" w:rsidR="007404B3" w:rsidRPr="00EE5DCA" w:rsidRDefault="007404B3" w:rsidP="007404B3">
      <w:pPr>
        <w:spacing w:after="160" w:line="259" w:lineRule="auto"/>
        <w:ind w:left="720"/>
        <w:rPr>
          <w:sz w:val="24"/>
          <w:szCs w:val="24"/>
        </w:rPr>
      </w:pPr>
      <w:r w:rsidRPr="00EE5DCA">
        <w:rPr>
          <w:sz w:val="24"/>
          <w:szCs w:val="24"/>
        </w:rPr>
        <w:t>Distinctly different from the Government Sector, the intercept for Other Sectors stands at 5977, signaling a relatively lower initial Profit compared to the Government Sector. This implies differing starting points for Profit, suggesting potentially less lucrative transactions in these sectors compared to the government-associated ones.</w:t>
      </w:r>
    </w:p>
    <w:p w14:paraId="2F3406F5" w14:textId="77777777" w:rsidR="007404B3" w:rsidRPr="00EE5DCA" w:rsidRDefault="007404B3" w:rsidP="007404B3">
      <w:pPr>
        <w:spacing w:after="160" w:line="259" w:lineRule="auto"/>
        <w:ind w:left="720"/>
        <w:rPr>
          <w:sz w:val="24"/>
          <w:szCs w:val="24"/>
        </w:rPr>
      </w:pPr>
      <w:r w:rsidRPr="00EE5DCA">
        <w:rPr>
          <w:sz w:val="24"/>
          <w:szCs w:val="24"/>
        </w:rPr>
        <w:t>The line's moderate slope indicates a comparatively milder link between Gross Sales and Profit in Other Sectors. This suggests that while Gross Sales influence Profit positively, the rate of Profit increase per unit of Gross Sales is lower in contrast to the Government Sector, presenting a distinct landscape for revenue generation and optimization.</w:t>
      </w:r>
    </w:p>
    <w:p w14:paraId="79FBADC2" w14:textId="77777777" w:rsidR="007404B3" w:rsidRPr="00EE5DCA" w:rsidRDefault="007404B3" w:rsidP="007404B3">
      <w:pPr>
        <w:spacing w:after="160" w:line="259" w:lineRule="auto"/>
        <w:ind w:left="720"/>
        <w:rPr>
          <w:sz w:val="24"/>
          <w:szCs w:val="24"/>
        </w:rPr>
      </w:pPr>
    </w:p>
    <w:p w14:paraId="4745D3A0" w14:textId="77777777" w:rsidR="007404B3" w:rsidRPr="00C51FCD" w:rsidRDefault="007404B3" w:rsidP="007404B3">
      <w:pPr>
        <w:spacing w:after="160" w:line="259" w:lineRule="auto"/>
        <w:ind w:left="720"/>
        <w:rPr>
          <w:sz w:val="24"/>
          <w:szCs w:val="24"/>
        </w:rPr>
      </w:pPr>
    </w:p>
    <w:p w14:paraId="5CD48D8B" w14:textId="77777777" w:rsidR="007404B3" w:rsidRPr="00C51FCD" w:rsidRDefault="007404B3" w:rsidP="007404B3">
      <w:pPr>
        <w:spacing w:after="160" w:line="259" w:lineRule="auto"/>
        <w:rPr>
          <w:b/>
          <w:bCs/>
          <w:sz w:val="24"/>
          <w:szCs w:val="24"/>
        </w:rPr>
      </w:pPr>
      <w:r w:rsidRPr="00C51FCD">
        <w:rPr>
          <w:b/>
          <w:bCs/>
          <w:sz w:val="24"/>
          <w:szCs w:val="24"/>
        </w:rPr>
        <w:t>Practical Insights and Recommendations:</w:t>
      </w:r>
    </w:p>
    <w:p w14:paraId="61470754" w14:textId="77777777" w:rsidR="007404B3" w:rsidRPr="00C51FCD" w:rsidRDefault="007404B3" w:rsidP="007404B3">
      <w:pPr>
        <w:spacing w:after="160" w:line="259" w:lineRule="auto"/>
        <w:rPr>
          <w:b/>
          <w:bCs/>
          <w:sz w:val="24"/>
          <w:szCs w:val="24"/>
        </w:rPr>
      </w:pPr>
      <w:r w:rsidRPr="00C51FCD">
        <w:rPr>
          <w:b/>
          <w:bCs/>
          <w:sz w:val="24"/>
          <w:szCs w:val="24"/>
        </w:rPr>
        <w:t>Strategic Focus:</w:t>
      </w:r>
    </w:p>
    <w:p w14:paraId="7CF108B0" w14:textId="77777777" w:rsidR="007404B3" w:rsidRPr="00C51FCD" w:rsidRDefault="007404B3" w:rsidP="007404B3">
      <w:pPr>
        <w:widowControl/>
        <w:numPr>
          <w:ilvl w:val="0"/>
          <w:numId w:val="66"/>
        </w:numPr>
        <w:autoSpaceDE/>
        <w:autoSpaceDN/>
        <w:spacing w:after="160" w:line="259" w:lineRule="auto"/>
        <w:rPr>
          <w:sz w:val="24"/>
          <w:szCs w:val="24"/>
        </w:rPr>
      </w:pPr>
      <w:r w:rsidRPr="00C51FCD">
        <w:rPr>
          <w:sz w:val="24"/>
          <w:szCs w:val="24"/>
        </w:rPr>
        <w:lastRenderedPageBreak/>
        <w:t>Capitalizing on the notably higher profitability within the Government Sector by strategizing to further enhance these transactions could yield substantial financial benefits.</w:t>
      </w:r>
    </w:p>
    <w:p w14:paraId="45E74CB6" w14:textId="77777777" w:rsidR="007404B3" w:rsidRPr="00C51FCD" w:rsidRDefault="007404B3" w:rsidP="007404B3">
      <w:pPr>
        <w:spacing w:after="160" w:line="259" w:lineRule="auto"/>
        <w:rPr>
          <w:b/>
          <w:bCs/>
          <w:sz w:val="24"/>
          <w:szCs w:val="24"/>
        </w:rPr>
      </w:pPr>
      <w:r w:rsidRPr="00C51FCD">
        <w:rPr>
          <w:b/>
          <w:bCs/>
          <w:sz w:val="24"/>
          <w:szCs w:val="24"/>
        </w:rPr>
        <w:t>Sector-Specific Optimization:</w:t>
      </w:r>
    </w:p>
    <w:p w14:paraId="5576B6DC" w14:textId="77777777" w:rsidR="007404B3" w:rsidRPr="00C51FCD" w:rsidRDefault="007404B3" w:rsidP="007404B3">
      <w:pPr>
        <w:widowControl/>
        <w:numPr>
          <w:ilvl w:val="0"/>
          <w:numId w:val="67"/>
        </w:numPr>
        <w:autoSpaceDE/>
        <w:autoSpaceDN/>
        <w:spacing w:after="160" w:line="259" w:lineRule="auto"/>
        <w:rPr>
          <w:sz w:val="24"/>
          <w:szCs w:val="24"/>
        </w:rPr>
      </w:pPr>
      <w:r w:rsidRPr="00C51FCD">
        <w:rPr>
          <w:sz w:val="24"/>
          <w:szCs w:val="24"/>
        </w:rPr>
        <w:t>Tailoring strategies based on sector-specific findings might prove instrumental. Optimization strategies in sectors with slightly lower profitability could improve overall performance.</w:t>
      </w:r>
    </w:p>
    <w:p w14:paraId="46520078" w14:textId="77777777" w:rsidR="007404B3" w:rsidRPr="00C51FCD" w:rsidRDefault="007404B3" w:rsidP="007404B3">
      <w:pPr>
        <w:spacing w:after="160" w:line="259" w:lineRule="auto"/>
        <w:rPr>
          <w:b/>
          <w:bCs/>
          <w:sz w:val="24"/>
          <w:szCs w:val="24"/>
        </w:rPr>
      </w:pPr>
      <w:r w:rsidRPr="00C51FCD">
        <w:rPr>
          <w:b/>
          <w:bCs/>
          <w:sz w:val="24"/>
          <w:szCs w:val="24"/>
        </w:rPr>
        <w:t>Continuous Adaptation:</w:t>
      </w:r>
    </w:p>
    <w:p w14:paraId="52E8E0AC" w14:textId="77777777" w:rsidR="007404B3" w:rsidRPr="00C51FCD" w:rsidRDefault="007404B3" w:rsidP="007404B3">
      <w:pPr>
        <w:widowControl/>
        <w:numPr>
          <w:ilvl w:val="0"/>
          <w:numId w:val="68"/>
        </w:numPr>
        <w:autoSpaceDE/>
        <w:autoSpaceDN/>
        <w:spacing w:after="160" w:line="259" w:lineRule="auto"/>
        <w:rPr>
          <w:sz w:val="24"/>
          <w:szCs w:val="24"/>
        </w:rPr>
      </w:pPr>
      <w:r w:rsidRPr="00C51FCD">
        <w:rPr>
          <w:sz w:val="24"/>
          <w:szCs w:val="24"/>
        </w:rPr>
        <w:t>Continuous monitoring and adaptation to evolving demands or preferences in both sectors are pivotal for sustained profitability and prompt adjustments.</w:t>
      </w:r>
    </w:p>
    <w:p w14:paraId="4B000199" w14:textId="77777777" w:rsidR="007404B3" w:rsidRDefault="007404B3" w:rsidP="007404B3">
      <w:pPr>
        <w:rPr>
          <w:sz w:val="24"/>
          <w:szCs w:val="24"/>
        </w:rPr>
      </w:pPr>
      <w:r w:rsidRPr="00C51FCD">
        <w:rPr>
          <w:sz w:val="24"/>
          <w:szCs w:val="24"/>
        </w:rPr>
        <w:t>This analysis underscores the importance of recognizing sector-specific differences in Profitability drivers and tailoring strategies accordingly. Recognizing the distinct patterns within the Government Sector and Other Sectors allows for targeted and effective strategies to enhance profitability.</w:t>
      </w:r>
    </w:p>
    <w:p w14:paraId="5A4A1FA0" w14:textId="77777777" w:rsidR="007404B3" w:rsidRDefault="007404B3" w:rsidP="007404B3">
      <w:pPr>
        <w:rPr>
          <w:sz w:val="24"/>
          <w:szCs w:val="24"/>
        </w:rPr>
      </w:pPr>
    </w:p>
    <w:p w14:paraId="68AC1D2E" w14:textId="77777777" w:rsidR="007404B3" w:rsidRDefault="007404B3" w:rsidP="007404B3">
      <w:pPr>
        <w:rPr>
          <w:b/>
          <w:bCs/>
          <w:sz w:val="24"/>
          <w:szCs w:val="24"/>
        </w:rPr>
      </w:pPr>
      <w:r w:rsidRPr="00EE5DCA">
        <w:rPr>
          <w:b/>
          <w:bCs/>
          <w:sz w:val="24"/>
          <w:szCs w:val="24"/>
        </w:rPr>
        <w:t>Conclusion:</w:t>
      </w:r>
    </w:p>
    <w:p w14:paraId="2DE868AB" w14:textId="77777777" w:rsidR="007404B3" w:rsidRPr="00EE5DCA" w:rsidRDefault="007404B3" w:rsidP="007404B3">
      <w:pPr>
        <w:spacing w:after="160" w:line="259" w:lineRule="auto"/>
        <w:rPr>
          <w:sz w:val="24"/>
          <w:szCs w:val="24"/>
        </w:rPr>
      </w:pPr>
      <w:r w:rsidRPr="00EE5DCA">
        <w:rPr>
          <w:sz w:val="24"/>
          <w:szCs w:val="24"/>
        </w:rPr>
        <w:t>In conclusion, the analysis highlighted distinct profit dynamics between the Government Sector and Other Sectors. The Government Sector showcased a stronger association between Gross Sales and Profit, marked by a steeper slope in the regression line and a higher baseline Profit. Conversely, Other Sectors revealed a more moderate relationship between Gross Sales and Profit, with a comparatively lower initial Profit.</w:t>
      </w:r>
    </w:p>
    <w:p w14:paraId="480444BB" w14:textId="77777777" w:rsidR="007404B3" w:rsidRPr="00EE5DCA" w:rsidRDefault="007404B3" w:rsidP="007404B3">
      <w:pPr>
        <w:spacing w:after="160" w:line="259" w:lineRule="auto"/>
        <w:rPr>
          <w:sz w:val="24"/>
          <w:szCs w:val="24"/>
        </w:rPr>
      </w:pPr>
      <w:r w:rsidRPr="00EE5DCA">
        <w:rPr>
          <w:sz w:val="24"/>
          <w:szCs w:val="24"/>
        </w:rPr>
        <w:t>These findings emphasize the need for tailored strategies considering the sector-specific nuances. Maximizing Gross Sales might yield substantial Profit gains in the Government Sector, while in Other Sectors, focusing on additional factors beyond Gross Sales could be crucial for enhancing profitability.</w:t>
      </w:r>
    </w:p>
    <w:p w14:paraId="66CDA740" w14:textId="77777777" w:rsidR="007404B3" w:rsidRDefault="007404B3" w:rsidP="007404B3">
      <w:pPr>
        <w:rPr>
          <w:sz w:val="24"/>
          <w:szCs w:val="24"/>
        </w:rPr>
      </w:pPr>
      <w:r w:rsidRPr="00EE5DCA">
        <w:rPr>
          <w:sz w:val="24"/>
          <w:szCs w:val="24"/>
        </w:rPr>
        <w:t>Understanding these sector-specific patterns and employing targeted strategies aligned with these observations can be pivotal in optimizing revenue and ensuring sustained profitability across diverse sectors.</w:t>
      </w:r>
    </w:p>
    <w:p w14:paraId="7A9642F9" w14:textId="77777777" w:rsidR="007404B3" w:rsidRDefault="007404B3" w:rsidP="007404B3">
      <w:pPr>
        <w:rPr>
          <w:sz w:val="24"/>
          <w:szCs w:val="24"/>
        </w:rPr>
      </w:pPr>
    </w:p>
    <w:p w14:paraId="71944CE8" w14:textId="77777777" w:rsidR="007404B3" w:rsidRDefault="007404B3" w:rsidP="007404B3">
      <w:pPr>
        <w:rPr>
          <w:sz w:val="24"/>
          <w:szCs w:val="24"/>
        </w:rPr>
      </w:pPr>
      <w:r>
        <w:rPr>
          <w:sz w:val="24"/>
          <w:szCs w:val="24"/>
        </w:rPr>
        <w:t>Reference:</w:t>
      </w:r>
    </w:p>
    <w:p w14:paraId="61574343" w14:textId="77777777" w:rsidR="007404B3" w:rsidRPr="00C51FCD" w:rsidRDefault="007404B3" w:rsidP="007404B3">
      <w:pPr>
        <w:spacing w:after="160" w:line="259" w:lineRule="auto"/>
        <w:rPr>
          <w:sz w:val="24"/>
          <w:szCs w:val="24"/>
        </w:rPr>
      </w:pPr>
      <w:r w:rsidRPr="00EE5DCA">
        <w:rPr>
          <w:b/>
          <w:bCs/>
          <w:sz w:val="24"/>
          <w:szCs w:val="24"/>
        </w:rPr>
        <w:t>Arya, A. (</w:t>
      </w:r>
      <w:r>
        <w:rPr>
          <w:b/>
          <w:bCs/>
          <w:sz w:val="24"/>
          <w:szCs w:val="24"/>
        </w:rPr>
        <w:t>2023</w:t>
      </w:r>
      <w:r w:rsidRPr="00EE5DCA">
        <w:rPr>
          <w:b/>
          <w:bCs/>
          <w:sz w:val="24"/>
          <w:szCs w:val="24"/>
        </w:rPr>
        <w:t xml:space="preserve">). Financials. Kaggle. </w:t>
      </w:r>
      <w:hyperlink r:id="rId11" w:tgtFrame="_new" w:history="1">
        <w:r w:rsidRPr="00EE5DCA">
          <w:rPr>
            <w:rStyle w:val="Hyperlink"/>
            <w:b/>
            <w:bCs/>
            <w:sz w:val="24"/>
            <w:szCs w:val="24"/>
          </w:rPr>
          <w:t>https://www.kaggle.com/datasets/atharvaarya25/financials</w:t>
        </w:r>
      </w:hyperlink>
    </w:p>
    <w:p w14:paraId="6BBC393A" w14:textId="77777777" w:rsidR="007404B3" w:rsidRPr="00C51FCD" w:rsidRDefault="007404B3" w:rsidP="007404B3">
      <w:pPr>
        <w:spacing w:after="160" w:line="259" w:lineRule="auto"/>
        <w:rPr>
          <w:b/>
          <w:bCs/>
          <w:vanish/>
          <w:sz w:val="24"/>
          <w:szCs w:val="24"/>
        </w:rPr>
      </w:pPr>
      <w:r w:rsidRPr="00C51FCD">
        <w:rPr>
          <w:b/>
          <w:bCs/>
          <w:vanish/>
          <w:sz w:val="24"/>
          <w:szCs w:val="24"/>
        </w:rPr>
        <w:t>Top of Form</w:t>
      </w:r>
    </w:p>
    <w:p w14:paraId="2EEC68BF" w14:textId="77777777" w:rsidR="007404B3" w:rsidRPr="00232BAD" w:rsidRDefault="007404B3" w:rsidP="007404B3">
      <w:pPr>
        <w:rPr>
          <w:sz w:val="24"/>
          <w:szCs w:val="24"/>
        </w:rPr>
      </w:pPr>
    </w:p>
    <w:p w14:paraId="17CF36BA" w14:textId="77777777" w:rsidR="00FE67E8" w:rsidRPr="00A4732E" w:rsidRDefault="00FE67E8" w:rsidP="007404B3">
      <w:pPr>
        <w:rPr>
          <w:sz w:val="24"/>
          <w:szCs w:val="24"/>
        </w:rPr>
      </w:pPr>
    </w:p>
    <w:sectPr w:rsidR="00FE67E8" w:rsidRPr="00A4732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C0185" w14:textId="77777777" w:rsidR="0046653E" w:rsidRDefault="0046653E">
      <w:r>
        <w:separator/>
      </w:r>
    </w:p>
  </w:endnote>
  <w:endnote w:type="continuationSeparator" w:id="0">
    <w:p w14:paraId="3D9FA6E5" w14:textId="77777777" w:rsidR="0046653E" w:rsidRDefault="00466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523EB" w14:textId="77777777" w:rsidR="0046653E" w:rsidRDefault="0046653E">
      <w:r>
        <w:separator/>
      </w:r>
    </w:p>
  </w:footnote>
  <w:footnote w:type="continuationSeparator" w:id="0">
    <w:p w14:paraId="1D9B9ECC" w14:textId="77777777" w:rsidR="0046653E" w:rsidRDefault="004665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444663"/>
      <w:docPartObj>
        <w:docPartGallery w:val="Page Numbers (Top of Page)"/>
        <w:docPartUnique/>
      </w:docPartObj>
    </w:sdtPr>
    <w:sdtEndPr>
      <w:rPr>
        <w:noProof/>
      </w:rPr>
    </w:sdtEndPr>
    <w:sdtContent>
      <w:p w14:paraId="2979B0E0" w14:textId="1DE23CCF" w:rsidR="007404B3" w:rsidRDefault="007404B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59A134DF" w14:textId="77777777" w:rsidR="007404B3" w:rsidRDefault="007404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4F05"/>
    <w:multiLevelType w:val="multilevel"/>
    <w:tmpl w:val="667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26882"/>
    <w:multiLevelType w:val="multilevel"/>
    <w:tmpl w:val="3D04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0433F"/>
    <w:multiLevelType w:val="multilevel"/>
    <w:tmpl w:val="12AA66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30165"/>
    <w:multiLevelType w:val="multilevel"/>
    <w:tmpl w:val="5AC48D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A1DF2"/>
    <w:multiLevelType w:val="multilevel"/>
    <w:tmpl w:val="F3EC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8C602A"/>
    <w:multiLevelType w:val="multilevel"/>
    <w:tmpl w:val="0F7A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A0238F"/>
    <w:multiLevelType w:val="multilevel"/>
    <w:tmpl w:val="C076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5A20B7"/>
    <w:multiLevelType w:val="multilevel"/>
    <w:tmpl w:val="64CA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5E24BF"/>
    <w:multiLevelType w:val="multilevel"/>
    <w:tmpl w:val="CF76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984DC9"/>
    <w:multiLevelType w:val="multilevel"/>
    <w:tmpl w:val="D9BA36C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202EA9"/>
    <w:multiLevelType w:val="multilevel"/>
    <w:tmpl w:val="6654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6B20E3"/>
    <w:multiLevelType w:val="multilevel"/>
    <w:tmpl w:val="DA1E2B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A557B5"/>
    <w:multiLevelType w:val="multilevel"/>
    <w:tmpl w:val="1C88F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8961AA"/>
    <w:multiLevelType w:val="multilevel"/>
    <w:tmpl w:val="E2C65876"/>
    <w:lvl w:ilvl="0">
      <w:start w:val="1"/>
      <w:numFmt w:val="decimal"/>
      <w:lvlText w:val="%1."/>
      <w:lvlJc w:val="left"/>
      <w:pPr>
        <w:tabs>
          <w:tab w:val="num" w:pos="785"/>
        </w:tabs>
        <w:ind w:left="785"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8F4420"/>
    <w:multiLevelType w:val="hybridMultilevel"/>
    <w:tmpl w:val="784441C8"/>
    <w:lvl w:ilvl="0" w:tplc="01F0C884">
      <w:numFmt w:val="bullet"/>
      <w:lvlText w:val=""/>
      <w:lvlJc w:val="left"/>
      <w:pPr>
        <w:ind w:left="820" w:hanging="361"/>
      </w:pPr>
      <w:rPr>
        <w:rFonts w:ascii="Symbol" w:eastAsia="Symbol" w:hAnsi="Symbol" w:cs="Symbol" w:hint="default"/>
        <w:b w:val="0"/>
        <w:bCs w:val="0"/>
        <w:i w:val="0"/>
        <w:iCs w:val="0"/>
        <w:w w:val="99"/>
        <w:sz w:val="25"/>
        <w:szCs w:val="25"/>
        <w:lang w:val="en-US" w:eastAsia="en-US" w:bidi="ar-SA"/>
      </w:rPr>
    </w:lvl>
    <w:lvl w:ilvl="1" w:tplc="EDD0F32A">
      <w:numFmt w:val="bullet"/>
      <w:lvlText w:val="•"/>
      <w:lvlJc w:val="left"/>
      <w:pPr>
        <w:ind w:left="1818" w:hanging="361"/>
      </w:pPr>
      <w:rPr>
        <w:rFonts w:hint="default"/>
        <w:lang w:val="en-US" w:eastAsia="en-US" w:bidi="ar-SA"/>
      </w:rPr>
    </w:lvl>
    <w:lvl w:ilvl="2" w:tplc="5C689A26">
      <w:numFmt w:val="bullet"/>
      <w:lvlText w:val="•"/>
      <w:lvlJc w:val="left"/>
      <w:pPr>
        <w:ind w:left="2816" w:hanging="361"/>
      </w:pPr>
      <w:rPr>
        <w:rFonts w:hint="default"/>
        <w:lang w:val="en-US" w:eastAsia="en-US" w:bidi="ar-SA"/>
      </w:rPr>
    </w:lvl>
    <w:lvl w:ilvl="3" w:tplc="29CAACF2">
      <w:numFmt w:val="bullet"/>
      <w:lvlText w:val="•"/>
      <w:lvlJc w:val="left"/>
      <w:pPr>
        <w:ind w:left="3814" w:hanging="361"/>
      </w:pPr>
      <w:rPr>
        <w:rFonts w:hint="default"/>
        <w:lang w:val="en-US" w:eastAsia="en-US" w:bidi="ar-SA"/>
      </w:rPr>
    </w:lvl>
    <w:lvl w:ilvl="4" w:tplc="40186586">
      <w:numFmt w:val="bullet"/>
      <w:lvlText w:val="•"/>
      <w:lvlJc w:val="left"/>
      <w:pPr>
        <w:ind w:left="4812" w:hanging="361"/>
      </w:pPr>
      <w:rPr>
        <w:rFonts w:hint="default"/>
        <w:lang w:val="en-US" w:eastAsia="en-US" w:bidi="ar-SA"/>
      </w:rPr>
    </w:lvl>
    <w:lvl w:ilvl="5" w:tplc="40CEB212">
      <w:numFmt w:val="bullet"/>
      <w:lvlText w:val="•"/>
      <w:lvlJc w:val="left"/>
      <w:pPr>
        <w:ind w:left="5810" w:hanging="361"/>
      </w:pPr>
      <w:rPr>
        <w:rFonts w:hint="default"/>
        <w:lang w:val="en-US" w:eastAsia="en-US" w:bidi="ar-SA"/>
      </w:rPr>
    </w:lvl>
    <w:lvl w:ilvl="6" w:tplc="F08AA6C8">
      <w:numFmt w:val="bullet"/>
      <w:lvlText w:val="•"/>
      <w:lvlJc w:val="left"/>
      <w:pPr>
        <w:ind w:left="6808" w:hanging="361"/>
      </w:pPr>
      <w:rPr>
        <w:rFonts w:hint="default"/>
        <w:lang w:val="en-US" w:eastAsia="en-US" w:bidi="ar-SA"/>
      </w:rPr>
    </w:lvl>
    <w:lvl w:ilvl="7" w:tplc="D9145C28">
      <w:numFmt w:val="bullet"/>
      <w:lvlText w:val="•"/>
      <w:lvlJc w:val="left"/>
      <w:pPr>
        <w:ind w:left="7806" w:hanging="361"/>
      </w:pPr>
      <w:rPr>
        <w:rFonts w:hint="default"/>
        <w:lang w:val="en-US" w:eastAsia="en-US" w:bidi="ar-SA"/>
      </w:rPr>
    </w:lvl>
    <w:lvl w:ilvl="8" w:tplc="E8744DBA">
      <w:numFmt w:val="bullet"/>
      <w:lvlText w:val="•"/>
      <w:lvlJc w:val="left"/>
      <w:pPr>
        <w:ind w:left="8804" w:hanging="361"/>
      </w:pPr>
      <w:rPr>
        <w:rFonts w:hint="default"/>
        <w:lang w:val="en-US" w:eastAsia="en-US" w:bidi="ar-SA"/>
      </w:rPr>
    </w:lvl>
  </w:abstractNum>
  <w:abstractNum w:abstractNumId="15" w15:restartNumberingAfterBreak="0">
    <w:nsid w:val="0F1709D1"/>
    <w:multiLevelType w:val="multilevel"/>
    <w:tmpl w:val="95B25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9E46B4"/>
    <w:multiLevelType w:val="multilevel"/>
    <w:tmpl w:val="68D05B52"/>
    <w:lvl w:ilvl="0">
      <w:start w:val="1"/>
      <w:numFmt w:val="decimal"/>
      <w:lvlText w:val="%1."/>
      <w:lvlJc w:val="left"/>
      <w:pPr>
        <w:tabs>
          <w:tab w:val="num" w:pos="643"/>
        </w:tabs>
        <w:ind w:left="643"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DB308A"/>
    <w:multiLevelType w:val="multilevel"/>
    <w:tmpl w:val="B12A1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66D7D23"/>
    <w:multiLevelType w:val="hybridMultilevel"/>
    <w:tmpl w:val="F0767426"/>
    <w:lvl w:ilvl="0" w:tplc="64082304">
      <w:start w:val="1"/>
      <w:numFmt w:val="upperLetter"/>
      <w:lvlText w:val="%1."/>
      <w:lvlJc w:val="left"/>
      <w:pPr>
        <w:ind w:left="404" w:hanging="305"/>
      </w:pPr>
      <w:rPr>
        <w:rFonts w:ascii="Times New Roman" w:eastAsia="Times New Roman" w:hAnsi="Times New Roman" w:cs="Times New Roman" w:hint="default"/>
        <w:b/>
        <w:bCs/>
        <w:i w:val="0"/>
        <w:iCs w:val="0"/>
        <w:spacing w:val="-1"/>
        <w:w w:val="99"/>
        <w:sz w:val="25"/>
        <w:szCs w:val="25"/>
        <w:lang w:val="en-US" w:eastAsia="en-US" w:bidi="ar-SA"/>
      </w:rPr>
    </w:lvl>
    <w:lvl w:ilvl="1" w:tplc="DA3E01FA">
      <w:start w:val="1"/>
      <w:numFmt w:val="decimal"/>
      <w:lvlText w:val="%2."/>
      <w:lvlJc w:val="left"/>
      <w:pPr>
        <w:ind w:left="349" w:hanging="250"/>
      </w:pPr>
      <w:rPr>
        <w:rFonts w:ascii="Times New Roman" w:eastAsia="Times New Roman" w:hAnsi="Times New Roman" w:cs="Times New Roman" w:hint="default"/>
        <w:b/>
        <w:bCs/>
        <w:i w:val="0"/>
        <w:iCs w:val="0"/>
        <w:w w:val="99"/>
        <w:sz w:val="25"/>
        <w:szCs w:val="25"/>
        <w:lang w:val="en-US" w:eastAsia="en-US" w:bidi="ar-SA"/>
      </w:rPr>
    </w:lvl>
    <w:lvl w:ilvl="2" w:tplc="40D81350">
      <w:numFmt w:val="bullet"/>
      <w:lvlText w:val=""/>
      <w:lvlJc w:val="left"/>
      <w:pPr>
        <w:ind w:left="820" w:hanging="361"/>
      </w:pPr>
      <w:rPr>
        <w:rFonts w:ascii="Symbol" w:eastAsia="Symbol" w:hAnsi="Symbol" w:cs="Symbol" w:hint="default"/>
        <w:b w:val="0"/>
        <w:bCs w:val="0"/>
        <w:i w:val="0"/>
        <w:iCs w:val="0"/>
        <w:w w:val="99"/>
        <w:sz w:val="25"/>
        <w:szCs w:val="25"/>
        <w:lang w:val="en-US" w:eastAsia="en-US" w:bidi="ar-SA"/>
      </w:rPr>
    </w:lvl>
    <w:lvl w:ilvl="3" w:tplc="6360C32C">
      <w:numFmt w:val="bullet"/>
      <w:lvlText w:val="•"/>
      <w:lvlJc w:val="left"/>
      <w:pPr>
        <w:ind w:left="1540" w:hanging="361"/>
      </w:pPr>
      <w:rPr>
        <w:rFonts w:hint="default"/>
        <w:lang w:val="en-US" w:eastAsia="en-US" w:bidi="ar-SA"/>
      </w:rPr>
    </w:lvl>
    <w:lvl w:ilvl="4" w:tplc="292623C4">
      <w:numFmt w:val="bullet"/>
      <w:lvlText w:val="•"/>
      <w:lvlJc w:val="left"/>
      <w:pPr>
        <w:ind w:left="2862" w:hanging="361"/>
      </w:pPr>
      <w:rPr>
        <w:rFonts w:hint="default"/>
        <w:lang w:val="en-US" w:eastAsia="en-US" w:bidi="ar-SA"/>
      </w:rPr>
    </w:lvl>
    <w:lvl w:ilvl="5" w:tplc="5F3AC5F0">
      <w:numFmt w:val="bullet"/>
      <w:lvlText w:val="•"/>
      <w:lvlJc w:val="left"/>
      <w:pPr>
        <w:ind w:left="4185" w:hanging="361"/>
      </w:pPr>
      <w:rPr>
        <w:rFonts w:hint="default"/>
        <w:lang w:val="en-US" w:eastAsia="en-US" w:bidi="ar-SA"/>
      </w:rPr>
    </w:lvl>
    <w:lvl w:ilvl="6" w:tplc="063CA172">
      <w:numFmt w:val="bullet"/>
      <w:lvlText w:val="•"/>
      <w:lvlJc w:val="left"/>
      <w:pPr>
        <w:ind w:left="5508" w:hanging="361"/>
      </w:pPr>
      <w:rPr>
        <w:rFonts w:hint="default"/>
        <w:lang w:val="en-US" w:eastAsia="en-US" w:bidi="ar-SA"/>
      </w:rPr>
    </w:lvl>
    <w:lvl w:ilvl="7" w:tplc="14A69630">
      <w:numFmt w:val="bullet"/>
      <w:lvlText w:val="•"/>
      <w:lvlJc w:val="left"/>
      <w:pPr>
        <w:ind w:left="6831" w:hanging="361"/>
      </w:pPr>
      <w:rPr>
        <w:rFonts w:hint="default"/>
        <w:lang w:val="en-US" w:eastAsia="en-US" w:bidi="ar-SA"/>
      </w:rPr>
    </w:lvl>
    <w:lvl w:ilvl="8" w:tplc="21A63580">
      <w:numFmt w:val="bullet"/>
      <w:lvlText w:val="•"/>
      <w:lvlJc w:val="left"/>
      <w:pPr>
        <w:ind w:left="8154" w:hanging="361"/>
      </w:pPr>
      <w:rPr>
        <w:rFonts w:hint="default"/>
        <w:lang w:val="en-US" w:eastAsia="en-US" w:bidi="ar-SA"/>
      </w:rPr>
    </w:lvl>
  </w:abstractNum>
  <w:abstractNum w:abstractNumId="19" w15:restartNumberingAfterBreak="0">
    <w:nsid w:val="173634CC"/>
    <w:multiLevelType w:val="multilevel"/>
    <w:tmpl w:val="645C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86C1899"/>
    <w:multiLevelType w:val="multilevel"/>
    <w:tmpl w:val="D2349A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A54CDC"/>
    <w:multiLevelType w:val="multilevel"/>
    <w:tmpl w:val="A6F0E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2F30017"/>
    <w:multiLevelType w:val="multilevel"/>
    <w:tmpl w:val="4BD80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3A1BE3"/>
    <w:multiLevelType w:val="multilevel"/>
    <w:tmpl w:val="2780E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8A10D6"/>
    <w:multiLevelType w:val="multilevel"/>
    <w:tmpl w:val="36C8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626664"/>
    <w:multiLevelType w:val="multilevel"/>
    <w:tmpl w:val="D3EC94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D61F74"/>
    <w:multiLevelType w:val="multilevel"/>
    <w:tmpl w:val="A65C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A4787A"/>
    <w:multiLevelType w:val="multilevel"/>
    <w:tmpl w:val="4A8A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83D5440"/>
    <w:multiLevelType w:val="multilevel"/>
    <w:tmpl w:val="A98E4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462F20"/>
    <w:multiLevelType w:val="multilevel"/>
    <w:tmpl w:val="5B62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C625635"/>
    <w:multiLevelType w:val="multilevel"/>
    <w:tmpl w:val="E572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EE499E"/>
    <w:multiLevelType w:val="multilevel"/>
    <w:tmpl w:val="12EC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E4832A7"/>
    <w:multiLevelType w:val="multilevel"/>
    <w:tmpl w:val="F8FCA1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762CCC"/>
    <w:multiLevelType w:val="multilevel"/>
    <w:tmpl w:val="6E98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553051"/>
    <w:multiLevelType w:val="multilevel"/>
    <w:tmpl w:val="AF98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1E0D82"/>
    <w:multiLevelType w:val="multilevel"/>
    <w:tmpl w:val="AE34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55304C"/>
    <w:multiLevelType w:val="multilevel"/>
    <w:tmpl w:val="1DF4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BE8744F"/>
    <w:multiLevelType w:val="multilevel"/>
    <w:tmpl w:val="76A89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D220125"/>
    <w:multiLevelType w:val="multilevel"/>
    <w:tmpl w:val="3E16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DE1183A"/>
    <w:multiLevelType w:val="multilevel"/>
    <w:tmpl w:val="399A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F5C6EEC"/>
    <w:multiLevelType w:val="multilevel"/>
    <w:tmpl w:val="4E6275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0C9321A"/>
    <w:multiLevelType w:val="multilevel"/>
    <w:tmpl w:val="AA14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4A22E9E"/>
    <w:multiLevelType w:val="multilevel"/>
    <w:tmpl w:val="2E4E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69C0E1B"/>
    <w:multiLevelType w:val="multilevel"/>
    <w:tmpl w:val="9710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303171"/>
    <w:multiLevelType w:val="multilevel"/>
    <w:tmpl w:val="0FE2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7606F81"/>
    <w:multiLevelType w:val="multilevel"/>
    <w:tmpl w:val="0074C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90D44FF"/>
    <w:multiLevelType w:val="multilevel"/>
    <w:tmpl w:val="80C0C6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1160C7"/>
    <w:multiLevelType w:val="multilevel"/>
    <w:tmpl w:val="DBB8A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D63AD9"/>
    <w:multiLevelType w:val="multilevel"/>
    <w:tmpl w:val="9C24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5F19CD"/>
    <w:multiLevelType w:val="multilevel"/>
    <w:tmpl w:val="E668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BE2A42"/>
    <w:multiLevelType w:val="multilevel"/>
    <w:tmpl w:val="D67016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8FF6CD2"/>
    <w:multiLevelType w:val="multilevel"/>
    <w:tmpl w:val="1BA0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CF44B81"/>
    <w:multiLevelType w:val="multilevel"/>
    <w:tmpl w:val="AF5AA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231525"/>
    <w:multiLevelType w:val="multilevel"/>
    <w:tmpl w:val="ABB25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700463"/>
    <w:multiLevelType w:val="multilevel"/>
    <w:tmpl w:val="E0908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577674"/>
    <w:multiLevelType w:val="multilevel"/>
    <w:tmpl w:val="0420A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5E6939"/>
    <w:multiLevelType w:val="multilevel"/>
    <w:tmpl w:val="F97C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BC23976"/>
    <w:multiLevelType w:val="multilevel"/>
    <w:tmpl w:val="4DCC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D7B63BF"/>
    <w:multiLevelType w:val="multilevel"/>
    <w:tmpl w:val="D486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533E13"/>
    <w:multiLevelType w:val="multilevel"/>
    <w:tmpl w:val="2C4CE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0DC0A57"/>
    <w:multiLevelType w:val="multilevel"/>
    <w:tmpl w:val="C712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8762B7D"/>
    <w:multiLevelType w:val="multilevel"/>
    <w:tmpl w:val="2F622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936596F"/>
    <w:multiLevelType w:val="multilevel"/>
    <w:tmpl w:val="7A0A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3A6C9D"/>
    <w:multiLevelType w:val="multilevel"/>
    <w:tmpl w:val="409AD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A456FE2"/>
    <w:multiLevelType w:val="multilevel"/>
    <w:tmpl w:val="FA762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B50741E"/>
    <w:multiLevelType w:val="multilevel"/>
    <w:tmpl w:val="EC5AE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A05DE1"/>
    <w:multiLevelType w:val="multilevel"/>
    <w:tmpl w:val="82E04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EBD6404"/>
    <w:multiLevelType w:val="multilevel"/>
    <w:tmpl w:val="956CE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8655130">
    <w:abstractNumId w:val="14"/>
  </w:num>
  <w:num w:numId="2" w16cid:durableId="1712069541">
    <w:abstractNumId w:val="18"/>
  </w:num>
  <w:num w:numId="3" w16cid:durableId="1554930442">
    <w:abstractNumId w:val="21"/>
  </w:num>
  <w:num w:numId="4" w16cid:durableId="1593314565">
    <w:abstractNumId w:val="26"/>
  </w:num>
  <w:num w:numId="5" w16cid:durableId="998734558">
    <w:abstractNumId w:val="67"/>
  </w:num>
  <w:num w:numId="6" w16cid:durableId="1727488780">
    <w:abstractNumId w:val="54"/>
  </w:num>
  <w:num w:numId="7" w16cid:durableId="320815798">
    <w:abstractNumId w:val="29"/>
  </w:num>
  <w:num w:numId="8" w16cid:durableId="298655283">
    <w:abstractNumId w:val="15"/>
  </w:num>
  <w:num w:numId="9" w16cid:durableId="1198159550">
    <w:abstractNumId w:val="24"/>
  </w:num>
  <w:num w:numId="10" w16cid:durableId="1716543298">
    <w:abstractNumId w:val="16"/>
  </w:num>
  <w:num w:numId="11" w16cid:durableId="914361729">
    <w:abstractNumId w:val="1"/>
  </w:num>
  <w:num w:numId="12" w16cid:durableId="2053846909">
    <w:abstractNumId w:val="30"/>
  </w:num>
  <w:num w:numId="13" w16cid:durableId="863791122">
    <w:abstractNumId w:val="43"/>
  </w:num>
  <w:num w:numId="14" w16cid:durableId="2059475695">
    <w:abstractNumId w:val="17"/>
  </w:num>
  <w:num w:numId="15" w16cid:durableId="536351797">
    <w:abstractNumId w:val="31"/>
  </w:num>
  <w:num w:numId="16" w16cid:durableId="2026636575">
    <w:abstractNumId w:val="52"/>
  </w:num>
  <w:num w:numId="17" w16cid:durableId="575362275">
    <w:abstractNumId w:val="36"/>
  </w:num>
  <w:num w:numId="18" w16cid:durableId="1339045199">
    <w:abstractNumId w:val="8"/>
  </w:num>
  <w:num w:numId="19" w16cid:durableId="1424297623">
    <w:abstractNumId w:val="5"/>
  </w:num>
  <w:num w:numId="20" w16cid:durableId="1903365255">
    <w:abstractNumId w:val="4"/>
  </w:num>
  <w:num w:numId="21" w16cid:durableId="1239097973">
    <w:abstractNumId w:val="55"/>
  </w:num>
  <w:num w:numId="22" w16cid:durableId="721945793">
    <w:abstractNumId w:val="46"/>
  </w:num>
  <w:num w:numId="23" w16cid:durableId="82804218">
    <w:abstractNumId w:val="23"/>
  </w:num>
  <w:num w:numId="24" w16cid:durableId="585959705">
    <w:abstractNumId w:val="40"/>
  </w:num>
  <w:num w:numId="25" w16cid:durableId="1030449696">
    <w:abstractNumId w:val="47"/>
  </w:num>
  <w:num w:numId="26" w16cid:durableId="272982127">
    <w:abstractNumId w:val="22"/>
  </w:num>
  <w:num w:numId="27" w16cid:durableId="1577325626">
    <w:abstractNumId w:val="25"/>
  </w:num>
  <w:num w:numId="28" w16cid:durableId="991443858">
    <w:abstractNumId w:val="3"/>
  </w:num>
  <w:num w:numId="29" w16cid:durableId="580718605">
    <w:abstractNumId w:val="11"/>
  </w:num>
  <w:num w:numId="30" w16cid:durableId="2083017469">
    <w:abstractNumId w:val="59"/>
  </w:num>
  <w:num w:numId="31" w16cid:durableId="460343236">
    <w:abstractNumId w:val="65"/>
  </w:num>
  <w:num w:numId="32" w16cid:durableId="1119033883">
    <w:abstractNumId w:val="42"/>
  </w:num>
  <w:num w:numId="33" w16cid:durableId="768353707">
    <w:abstractNumId w:val="49"/>
  </w:num>
  <w:num w:numId="34" w16cid:durableId="838426003">
    <w:abstractNumId w:val="45"/>
  </w:num>
  <w:num w:numId="35" w16cid:durableId="634066246">
    <w:abstractNumId w:val="58"/>
  </w:num>
  <w:num w:numId="36" w16cid:durableId="1557428385">
    <w:abstractNumId w:val="37"/>
  </w:num>
  <w:num w:numId="37" w16cid:durableId="922882639">
    <w:abstractNumId w:val="2"/>
  </w:num>
  <w:num w:numId="38" w16cid:durableId="394664980">
    <w:abstractNumId w:val="56"/>
  </w:num>
  <w:num w:numId="39" w16cid:durableId="1585529148">
    <w:abstractNumId w:val="13"/>
  </w:num>
  <w:num w:numId="40" w16cid:durableId="1338338528">
    <w:abstractNumId w:val="20"/>
  </w:num>
  <w:num w:numId="41" w16cid:durableId="181407775">
    <w:abstractNumId w:val="9"/>
  </w:num>
  <w:num w:numId="42" w16cid:durableId="13924834">
    <w:abstractNumId w:val="60"/>
  </w:num>
  <w:num w:numId="43" w16cid:durableId="481964472">
    <w:abstractNumId w:val="53"/>
  </w:num>
  <w:num w:numId="44" w16cid:durableId="633020588">
    <w:abstractNumId w:val="66"/>
  </w:num>
  <w:num w:numId="45" w16cid:durableId="387654753">
    <w:abstractNumId w:val="63"/>
  </w:num>
  <w:num w:numId="46" w16cid:durableId="153493867">
    <w:abstractNumId w:val="44"/>
  </w:num>
  <w:num w:numId="47" w16cid:durableId="924339081">
    <w:abstractNumId w:val="19"/>
  </w:num>
  <w:num w:numId="48" w16cid:durableId="2087875461">
    <w:abstractNumId w:val="41"/>
  </w:num>
  <w:num w:numId="49" w16cid:durableId="247736405">
    <w:abstractNumId w:val="28"/>
  </w:num>
  <w:num w:numId="50" w16cid:durableId="1937210507">
    <w:abstractNumId w:val="33"/>
  </w:num>
  <w:num w:numId="51" w16cid:durableId="854151480">
    <w:abstractNumId w:val="0"/>
  </w:num>
  <w:num w:numId="52" w16cid:durableId="361781932">
    <w:abstractNumId w:val="10"/>
  </w:num>
  <w:num w:numId="53" w16cid:durableId="496385212">
    <w:abstractNumId w:val="7"/>
  </w:num>
  <w:num w:numId="54" w16cid:durableId="674305531">
    <w:abstractNumId w:val="27"/>
  </w:num>
  <w:num w:numId="55" w16cid:durableId="1726367091">
    <w:abstractNumId w:val="38"/>
  </w:num>
  <w:num w:numId="56" w16cid:durableId="1109006104">
    <w:abstractNumId w:val="50"/>
  </w:num>
  <w:num w:numId="57" w16cid:durableId="582224245">
    <w:abstractNumId w:val="61"/>
  </w:num>
  <w:num w:numId="58" w16cid:durableId="1926760107">
    <w:abstractNumId w:val="64"/>
  </w:num>
  <w:num w:numId="59" w16cid:durableId="1151023877">
    <w:abstractNumId w:val="6"/>
  </w:num>
  <w:num w:numId="60" w16cid:durableId="1580478997">
    <w:abstractNumId w:val="35"/>
  </w:num>
  <w:num w:numId="61" w16cid:durableId="1277172402">
    <w:abstractNumId w:val="57"/>
  </w:num>
  <w:num w:numId="62" w16cid:durableId="1640190153">
    <w:abstractNumId w:val="32"/>
  </w:num>
  <w:num w:numId="63" w16cid:durableId="34238730">
    <w:abstractNumId w:val="51"/>
  </w:num>
  <w:num w:numId="64" w16cid:durableId="1728335863">
    <w:abstractNumId w:val="12"/>
  </w:num>
  <w:num w:numId="65" w16cid:durableId="2070615973">
    <w:abstractNumId w:val="48"/>
  </w:num>
  <w:num w:numId="66" w16cid:durableId="1134561956">
    <w:abstractNumId w:val="39"/>
  </w:num>
  <w:num w:numId="67" w16cid:durableId="1603493903">
    <w:abstractNumId w:val="62"/>
  </w:num>
  <w:num w:numId="68" w16cid:durableId="166874702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5187C"/>
    <w:rsid w:val="00007A92"/>
    <w:rsid w:val="0001104C"/>
    <w:rsid w:val="00013E44"/>
    <w:rsid w:val="00020059"/>
    <w:rsid w:val="000449D0"/>
    <w:rsid w:val="00055392"/>
    <w:rsid w:val="0006705C"/>
    <w:rsid w:val="00093471"/>
    <w:rsid w:val="000939E1"/>
    <w:rsid w:val="001150A8"/>
    <w:rsid w:val="00115CD0"/>
    <w:rsid w:val="00122440"/>
    <w:rsid w:val="0013093B"/>
    <w:rsid w:val="0013766D"/>
    <w:rsid w:val="00140C02"/>
    <w:rsid w:val="001412F9"/>
    <w:rsid w:val="001464C6"/>
    <w:rsid w:val="00146DF9"/>
    <w:rsid w:val="00151CDD"/>
    <w:rsid w:val="00180051"/>
    <w:rsid w:val="00180618"/>
    <w:rsid w:val="00182DD1"/>
    <w:rsid w:val="00186A45"/>
    <w:rsid w:val="00193CA9"/>
    <w:rsid w:val="00197F84"/>
    <w:rsid w:val="001A0747"/>
    <w:rsid w:val="001A64D5"/>
    <w:rsid w:val="001D043F"/>
    <w:rsid w:val="001F3CC1"/>
    <w:rsid w:val="0022029C"/>
    <w:rsid w:val="00223577"/>
    <w:rsid w:val="002536D7"/>
    <w:rsid w:val="002563DF"/>
    <w:rsid w:val="00256DBB"/>
    <w:rsid w:val="00264607"/>
    <w:rsid w:val="00271E9F"/>
    <w:rsid w:val="0027338F"/>
    <w:rsid w:val="00282BAE"/>
    <w:rsid w:val="002874B4"/>
    <w:rsid w:val="00292AE6"/>
    <w:rsid w:val="00296D9C"/>
    <w:rsid w:val="002B1E52"/>
    <w:rsid w:val="002B329C"/>
    <w:rsid w:val="002B60BF"/>
    <w:rsid w:val="002D7B62"/>
    <w:rsid w:val="002E27EF"/>
    <w:rsid w:val="002E4A07"/>
    <w:rsid w:val="002F5690"/>
    <w:rsid w:val="00303028"/>
    <w:rsid w:val="003034A5"/>
    <w:rsid w:val="003045C1"/>
    <w:rsid w:val="0032157C"/>
    <w:rsid w:val="00324B23"/>
    <w:rsid w:val="0033553C"/>
    <w:rsid w:val="00344EB1"/>
    <w:rsid w:val="00355121"/>
    <w:rsid w:val="003577C9"/>
    <w:rsid w:val="00375199"/>
    <w:rsid w:val="0037559A"/>
    <w:rsid w:val="00392B94"/>
    <w:rsid w:val="003B404D"/>
    <w:rsid w:val="003B5354"/>
    <w:rsid w:val="003D5902"/>
    <w:rsid w:val="003F4C46"/>
    <w:rsid w:val="003F6ED9"/>
    <w:rsid w:val="004143DC"/>
    <w:rsid w:val="00422138"/>
    <w:rsid w:val="00425D61"/>
    <w:rsid w:val="00457D18"/>
    <w:rsid w:val="0046265F"/>
    <w:rsid w:val="0046653E"/>
    <w:rsid w:val="00473F34"/>
    <w:rsid w:val="00476B29"/>
    <w:rsid w:val="00487B40"/>
    <w:rsid w:val="004A5B49"/>
    <w:rsid w:val="004B25CE"/>
    <w:rsid w:val="0051497A"/>
    <w:rsid w:val="00515511"/>
    <w:rsid w:val="00523BEF"/>
    <w:rsid w:val="00527B38"/>
    <w:rsid w:val="00534921"/>
    <w:rsid w:val="0054095D"/>
    <w:rsid w:val="00545820"/>
    <w:rsid w:val="0055187C"/>
    <w:rsid w:val="005801C5"/>
    <w:rsid w:val="0058190E"/>
    <w:rsid w:val="0058453B"/>
    <w:rsid w:val="005C36CA"/>
    <w:rsid w:val="005C43D9"/>
    <w:rsid w:val="005F1D39"/>
    <w:rsid w:val="005F32FF"/>
    <w:rsid w:val="00623057"/>
    <w:rsid w:val="0065167F"/>
    <w:rsid w:val="0065189C"/>
    <w:rsid w:val="00655855"/>
    <w:rsid w:val="00661E6A"/>
    <w:rsid w:val="006851AE"/>
    <w:rsid w:val="00696A7F"/>
    <w:rsid w:val="006A5A83"/>
    <w:rsid w:val="006B0430"/>
    <w:rsid w:val="006B409F"/>
    <w:rsid w:val="006C0329"/>
    <w:rsid w:val="006D5290"/>
    <w:rsid w:val="007002A2"/>
    <w:rsid w:val="007108E1"/>
    <w:rsid w:val="007216D0"/>
    <w:rsid w:val="007404B3"/>
    <w:rsid w:val="00746B5A"/>
    <w:rsid w:val="00752F46"/>
    <w:rsid w:val="00770A32"/>
    <w:rsid w:val="0077612C"/>
    <w:rsid w:val="00776245"/>
    <w:rsid w:val="007777C9"/>
    <w:rsid w:val="007840EB"/>
    <w:rsid w:val="007A3C5A"/>
    <w:rsid w:val="007B286C"/>
    <w:rsid w:val="007C1371"/>
    <w:rsid w:val="007C329C"/>
    <w:rsid w:val="007D333A"/>
    <w:rsid w:val="00803D7F"/>
    <w:rsid w:val="00831F48"/>
    <w:rsid w:val="0084454A"/>
    <w:rsid w:val="00852ECC"/>
    <w:rsid w:val="00857FF5"/>
    <w:rsid w:val="00881915"/>
    <w:rsid w:val="008B0D98"/>
    <w:rsid w:val="008B7D5B"/>
    <w:rsid w:val="008D1BF6"/>
    <w:rsid w:val="008D5867"/>
    <w:rsid w:val="008E2647"/>
    <w:rsid w:val="009412FF"/>
    <w:rsid w:val="00951ED8"/>
    <w:rsid w:val="00956F21"/>
    <w:rsid w:val="0096746D"/>
    <w:rsid w:val="009712A9"/>
    <w:rsid w:val="009778F9"/>
    <w:rsid w:val="00983E04"/>
    <w:rsid w:val="009876D7"/>
    <w:rsid w:val="009A5BE9"/>
    <w:rsid w:val="009A6A00"/>
    <w:rsid w:val="009B3CA9"/>
    <w:rsid w:val="009E35C9"/>
    <w:rsid w:val="009E68C7"/>
    <w:rsid w:val="00A009A1"/>
    <w:rsid w:val="00A0733A"/>
    <w:rsid w:val="00A075F0"/>
    <w:rsid w:val="00A21107"/>
    <w:rsid w:val="00A27E29"/>
    <w:rsid w:val="00A4732E"/>
    <w:rsid w:val="00A763BA"/>
    <w:rsid w:val="00A94BB1"/>
    <w:rsid w:val="00AB4581"/>
    <w:rsid w:val="00AD0600"/>
    <w:rsid w:val="00AF60DB"/>
    <w:rsid w:val="00B02195"/>
    <w:rsid w:val="00B05E96"/>
    <w:rsid w:val="00B14CA6"/>
    <w:rsid w:val="00B212DB"/>
    <w:rsid w:val="00B31B5B"/>
    <w:rsid w:val="00B321ED"/>
    <w:rsid w:val="00B427A7"/>
    <w:rsid w:val="00B53541"/>
    <w:rsid w:val="00B54F7A"/>
    <w:rsid w:val="00B70228"/>
    <w:rsid w:val="00BA6ACF"/>
    <w:rsid w:val="00BC69C4"/>
    <w:rsid w:val="00BD1739"/>
    <w:rsid w:val="00BE23F1"/>
    <w:rsid w:val="00BE3417"/>
    <w:rsid w:val="00BF493B"/>
    <w:rsid w:val="00C12077"/>
    <w:rsid w:val="00C16483"/>
    <w:rsid w:val="00C21569"/>
    <w:rsid w:val="00C32968"/>
    <w:rsid w:val="00C65095"/>
    <w:rsid w:val="00C90AF3"/>
    <w:rsid w:val="00C94AB5"/>
    <w:rsid w:val="00CB37BA"/>
    <w:rsid w:val="00CD48C2"/>
    <w:rsid w:val="00CD4F35"/>
    <w:rsid w:val="00CE3F92"/>
    <w:rsid w:val="00CE75B1"/>
    <w:rsid w:val="00CF1961"/>
    <w:rsid w:val="00D146C1"/>
    <w:rsid w:val="00D14A9E"/>
    <w:rsid w:val="00D26F40"/>
    <w:rsid w:val="00D27243"/>
    <w:rsid w:val="00D32465"/>
    <w:rsid w:val="00D33C98"/>
    <w:rsid w:val="00D40730"/>
    <w:rsid w:val="00D427CF"/>
    <w:rsid w:val="00D62EF6"/>
    <w:rsid w:val="00D85431"/>
    <w:rsid w:val="00DC3938"/>
    <w:rsid w:val="00DC4189"/>
    <w:rsid w:val="00DC64BD"/>
    <w:rsid w:val="00DE147F"/>
    <w:rsid w:val="00DE1D55"/>
    <w:rsid w:val="00DF242A"/>
    <w:rsid w:val="00E12BC1"/>
    <w:rsid w:val="00E13DD2"/>
    <w:rsid w:val="00E26B25"/>
    <w:rsid w:val="00E2724A"/>
    <w:rsid w:val="00E55F25"/>
    <w:rsid w:val="00E60970"/>
    <w:rsid w:val="00EA68CC"/>
    <w:rsid w:val="00EC0236"/>
    <w:rsid w:val="00ED2984"/>
    <w:rsid w:val="00EE3D88"/>
    <w:rsid w:val="00EF0E3F"/>
    <w:rsid w:val="00F17710"/>
    <w:rsid w:val="00F26C82"/>
    <w:rsid w:val="00F27E13"/>
    <w:rsid w:val="00F57A11"/>
    <w:rsid w:val="00F76A46"/>
    <w:rsid w:val="00FA73E3"/>
    <w:rsid w:val="00FA7959"/>
    <w:rsid w:val="00FB7EE1"/>
    <w:rsid w:val="00FC0834"/>
    <w:rsid w:val="00FC106E"/>
    <w:rsid w:val="00FC43FE"/>
    <w:rsid w:val="00FE0CF8"/>
    <w:rsid w:val="00FE67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181FFC"/>
  <w15:docId w15:val="{8C82BE64-AAF5-41C7-8AB7-0EAFB42D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91" w:hanging="305"/>
      <w:outlineLvl w:val="0"/>
    </w:pPr>
    <w:rPr>
      <w:b/>
      <w:bCs/>
      <w:sz w:val="25"/>
      <w:szCs w:val="25"/>
    </w:rPr>
  </w:style>
  <w:style w:type="paragraph" w:styleId="Heading2">
    <w:name w:val="heading 2"/>
    <w:basedOn w:val="Normal"/>
    <w:next w:val="Normal"/>
    <w:link w:val="Heading2Char"/>
    <w:uiPriority w:val="9"/>
    <w:semiHidden/>
    <w:unhideWhenUsed/>
    <w:qFormat/>
    <w:rsid w:val="007B286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B286C"/>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56DB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ListParagraph">
    <w:name w:val="List Paragraph"/>
    <w:basedOn w:val="Normal"/>
    <w:uiPriority w:val="34"/>
    <w:qFormat/>
    <w:pPr>
      <w:ind w:left="349"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27E29"/>
    <w:rPr>
      <w:color w:val="0000FF" w:themeColor="hyperlink"/>
      <w:u w:val="single"/>
    </w:rPr>
  </w:style>
  <w:style w:type="character" w:styleId="UnresolvedMention">
    <w:name w:val="Unresolved Mention"/>
    <w:basedOn w:val="DefaultParagraphFont"/>
    <w:uiPriority w:val="99"/>
    <w:semiHidden/>
    <w:unhideWhenUsed/>
    <w:rsid w:val="00A27E29"/>
    <w:rPr>
      <w:color w:val="605E5C"/>
      <w:shd w:val="clear" w:color="auto" w:fill="E1DFDD"/>
    </w:rPr>
  </w:style>
  <w:style w:type="paragraph" w:styleId="NormalWeb">
    <w:name w:val="Normal (Web)"/>
    <w:basedOn w:val="Normal"/>
    <w:uiPriority w:val="99"/>
    <w:semiHidden/>
    <w:unhideWhenUsed/>
    <w:rsid w:val="00CD48C2"/>
    <w:pPr>
      <w:widowControl/>
      <w:autoSpaceDE/>
      <w:autoSpaceDN/>
      <w:spacing w:before="100" w:beforeAutospacing="1" w:after="100" w:afterAutospacing="1"/>
    </w:pPr>
    <w:rPr>
      <w:sz w:val="24"/>
      <w:szCs w:val="24"/>
      <w:lang w:val="en-CA" w:eastAsia="en-CA"/>
    </w:rPr>
  </w:style>
  <w:style w:type="character" w:customStyle="1" w:styleId="Heading2Char">
    <w:name w:val="Heading 2 Char"/>
    <w:basedOn w:val="DefaultParagraphFont"/>
    <w:link w:val="Heading2"/>
    <w:uiPriority w:val="9"/>
    <w:semiHidden/>
    <w:rsid w:val="007B286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B286C"/>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3577C9"/>
    <w:pPr>
      <w:spacing w:after="200"/>
    </w:pPr>
    <w:rPr>
      <w:i/>
      <w:iCs/>
      <w:color w:val="1F497D" w:themeColor="text2"/>
      <w:sz w:val="18"/>
      <w:szCs w:val="18"/>
    </w:rPr>
  </w:style>
  <w:style w:type="paragraph" w:styleId="Header">
    <w:name w:val="header"/>
    <w:basedOn w:val="Normal"/>
    <w:link w:val="HeaderChar"/>
    <w:uiPriority w:val="99"/>
    <w:unhideWhenUsed/>
    <w:rsid w:val="00B212DB"/>
    <w:pPr>
      <w:tabs>
        <w:tab w:val="center" w:pos="4680"/>
        <w:tab w:val="right" w:pos="9360"/>
      </w:tabs>
    </w:pPr>
  </w:style>
  <w:style w:type="character" w:customStyle="1" w:styleId="HeaderChar">
    <w:name w:val="Header Char"/>
    <w:basedOn w:val="DefaultParagraphFont"/>
    <w:link w:val="Header"/>
    <w:uiPriority w:val="99"/>
    <w:rsid w:val="00B212DB"/>
    <w:rPr>
      <w:rFonts w:ascii="Times New Roman" w:eastAsia="Times New Roman" w:hAnsi="Times New Roman" w:cs="Times New Roman"/>
    </w:rPr>
  </w:style>
  <w:style w:type="paragraph" w:styleId="Footer">
    <w:name w:val="footer"/>
    <w:basedOn w:val="Normal"/>
    <w:link w:val="FooterChar"/>
    <w:uiPriority w:val="99"/>
    <w:unhideWhenUsed/>
    <w:rsid w:val="00B212DB"/>
    <w:pPr>
      <w:tabs>
        <w:tab w:val="center" w:pos="4680"/>
        <w:tab w:val="right" w:pos="9360"/>
      </w:tabs>
    </w:pPr>
  </w:style>
  <w:style w:type="character" w:customStyle="1" w:styleId="FooterChar">
    <w:name w:val="Footer Char"/>
    <w:basedOn w:val="DefaultParagraphFont"/>
    <w:link w:val="Footer"/>
    <w:uiPriority w:val="99"/>
    <w:rsid w:val="00B212DB"/>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256DBB"/>
    <w:rPr>
      <w:rFonts w:asciiTheme="majorHAnsi" w:eastAsiaTheme="majorEastAsia" w:hAnsiTheme="majorHAnsi" w:cstheme="majorBidi"/>
      <w:i/>
      <w:iCs/>
      <w:color w:val="365F91" w:themeColor="accent1" w:themeShade="BF"/>
    </w:rPr>
  </w:style>
  <w:style w:type="paragraph" w:customStyle="1" w:styleId="Default">
    <w:name w:val="Default"/>
    <w:rsid w:val="00C32968"/>
    <w:pPr>
      <w:widowControl/>
      <w:adjustRightInd w:val="0"/>
    </w:pPr>
    <w:rPr>
      <w:rFonts w:ascii="Times New Roman" w:hAnsi="Times New Roman" w:cs="Times New Roman"/>
      <w:color w:val="000000"/>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3203">
      <w:bodyDiv w:val="1"/>
      <w:marLeft w:val="0"/>
      <w:marRight w:val="0"/>
      <w:marTop w:val="0"/>
      <w:marBottom w:val="0"/>
      <w:divBdr>
        <w:top w:val="none" w:sz="0" w:space="0" w:color="auto"/>
        <w:left w:val="none" w:sz="0" w:space="0" w:color="auto"/>
        <w:bottom w:val="none" w:sz="0" w:space="0" w:color="auto"/>
        <w:right w:val="none" w:sz="0" w:space="0" w:color="auto"/>
      </w:divBdr>
    </w:div>
    <w:div w:id="180825069">
      <w:bodyDiv w:val="1"/>
      <w:marLeft w:val="0"/>
      <w:marRight w:val="0"/>
      <w:marTop w:val="0"/>
      <w:marBottom w:val="0"/>
      <w:divBdr>
        <w:top w:val="none" w:sz="0" w:space="0" w:color="auto"/>
        <w:left w:val="none" w:sz="0" w:space="0" w:color="auto"/>
        <w:bottom w:val="none" w:sz="0" w:space="0" w:color="auto"/>
        <w:right w:val="none" w:sz="0" w:space="0" w:color="auto"/>
      </w:divBdr>
    </w:div>
    <w:div w:id="191386627">
      <w:bodyDiv w:val="1"/>
      <w:marLeft w:val="0"/>
      <w:marRight w:val="0"/>
      <w:marTop w:val="0"/>
      <w:marBottom w:val="0"/>
      <w:divBdr>
        <w:top w:val="none" w:sz="0" w:space="0" w:color="auto"/>
        <w:left w:val="none" w:sz="0" w:space="0" w:color="auto"/>
        <w:bottom w:val="none" w:sz="0" w:space="0" w:color="auto"/>
        <w:right w:val="none" w:sz="0" w:space="0" w:color="auto"/>
      </w:divBdr>
    </w:div>
    <w:div w:id="191647169">
      <w:bodyDiv w:val="1"/>
      <w:marLeft w:val="0"/>
      <w:marRight w:val="0"/>
      <w:marTop w:val="0"/>
      <w:marBottom w:val="0"/>
      <w:divBdr>
        <w:top w:val="none" w:sz="0" w:space="0" w:color="auto"/>
        <w:left w:val="none" w:sz="0" w:space="0" w:color="auto"/>
        <w:bottom w:val="none" w:sz="0" w:space="0" w:color="auto"/>
        <w:right w:val="none" w:sz="0" w:space="0" w:color="auto"/>
      </w:divBdr>
    </w:div>
    <w:div w:id="192380202">
      <w:bodyDiv w:val="1"/>
      <w:marLeft w:val="0"/>
      <w:marRight w:val="0"/>
      <w:marTop w:val="0"/>
      <w:marBottom w:val="0"/>
      <w:divBdr>
        <w:top w:val="none" w:sz="0" w:space="0" w:color="auto"/>
        <w:left w:val="none" w:sz="0" w:space="0" w:color="auto"/>
        <w:bottom w:val="none" w:sz="0" w:space="0" w:color="auto"/>
        <w:right w:val="none" w:sz="0" w:space="0" w:color="auto"/>
      </w:divBdr>
    </w:div>
    <w:div w:id="234169148">
      <w:bodyDiv w:val="1"/>
      <w:marLeft w:val="0"/>
      <w:marRight w:val="0"/>
      <w:marTop w:val="0"/>
      <w:marBottom w:val="0"/>
      <w:divBdr>
        <w:top w:val="none" w:sz="0" w:space="0" w:color="auto"/>
        <w:left w:val="none" w:sz="0" w:space="0" w:color="auto"/>
        <w:bottom w:val="none" w:sz="0" w:space="0" w:color="auto"/>
        <w:right w:val="none" w:sz="0" w:space="0" w:color="auto"/>
      </w:divBdr>
    </w:div>
    <w:div w:id="246888472">
      <w:bodyDiv w:val="1"/>
      <w:marLeft w:val="0"/>
      <w:marRight w:val="0"/>
      <w:marTop w:val="0"/>
      <w:marBottom w:val="0"/>
      <w:divBdr>
        <w:top w:val="none" w:sz="0" w:space="0" w:color="auto"/>
        <w:left w:val="none" w:sz="0" w:space="0" w:color="auto"/>
        <w:bottom w:val="none" w:sz="0" w:space="0" w:color="auto"/>
        <w:right w:val="none" w:sz="0" w:space="0" w:color="auto"/>
      </w:divBdr>
    </w:div>
    <w:div w:id="285699823">
      <w:bodyDiv w:val="1"/>
      <w:marLeft w:val="0"/>
      <w:marRight w:val="0"/>
      <w:marTop w:val="0"/>
      <w:marBottom w:val="0"/>
      <w:divBdr>
        <w:top w:val="none" w:sz="0" w:space="0" w:color="auto"/>
        <w:left w:val="none" w:sz="0" w:space="0" w:color="auto"/>
        <w:bottom w:val="none" w:sz="0" w:space="0" w:color="auto"/>
        <w:right w:val="none" w:sz="0" w:space="0" w:color="auto"/>
      </w:divBdr>
      <w:divsChild>
        <w:div w:id="1011028887">
          <w:marLeft w:val="0"/>
          <w:marRight w:val="0"/>
          <w:marTop w:val="0"/>
          <w:marBottom w:val="0"/>
          <w:divBdr>
            <w:top w:val="single" w:sz="2" w:space="0" w:color="D9D9E3"/>
            <w:left w:val="single" w:sz="2" w:space="0" w:color="D9D9E3"/>
            <w:bottom w:val="single" w:sz="2" w:space="0" w:color="D9D9E3"/>
            <w:right w:val="single" w:sz="2" w:space="0" w:color="D9D9E3"/>
          </w:divBdr>
          <w:divsChild>
            <w:div w:id="269091184">
              <w:marLeft w:val="0"/>
              <w:marRight w:val="0"/>
              <w:marTop w:val="0"/>
              <w:marBottom w:val="0"/>
              <w:divBdr>
                <w:top w:val="single" w:sz="2" w:space="0" w:color="D9D9E3"/>
                <w:left w:val="single" w:sz="2" w:space="0" w:color="D9D9E3"/>
                <w:bottom w:val="single" w:sz="2" w:space="0" w:color="D9D9E3"/>
                <w:right w:val="single" w:sz="2" w:space="0" w:color="D9D9E3"/>
              </w:divBdr>
              <w:divsChild>
                <w:div w:id="1329360077">
                  <w:marLeft w:val="0"/>
                  <w:marRight w:val="0"/>
                  <w:marTop w:val="0"/>
                  <w:marBottom w:val="0"/>
                  <w:divBdr>
                    <w:top w:val="single" w:sz="2" w:space="0" w:color="D9D9E3"/>
                    <w:left w:val="single" w:sz="2" w:space="0" w:color="D9D9E3"/>
                    <w:bottom w:val="single" w:sz="2" w:space="0" w:color="D9D9E3"/>
                    <w:right w:val="single" w:sz="2" w:space="0" w:color="D9D9E3"/>
                  </w:divBdr>
                  <w:divsChild>
                    <w:div w:id="369578352">
                      <w:marLeft w:val="0"/>
                      <w:marRight w:val="0"/>
                      <w:marTop w:val="0"/>
                      <w:marBottom w:val="0"/>
                      <w:divBdr>
                        <w:top w:val="single" w:sz="2" w:space="0" w:color="D9D9E3"/>
                        <w:left w:val="single" w:sz="2" w:space="0" w:color="D9D9E3"/>
                        <w:bottom w:val="single" w:sz="2" w:space="0" w:color="D9D9E3"/>
                        <w:right w:val="single" w:sz="2" w:space="0" w:color="D9D9E3"/>
                      </w:divBdr>
                      <w:divsChild>
                        <w:div w:id="355498643">
                          <w:marLeft w:val="0"/>
                          <w:marRight w:val="0"/>
                          <w:marTop w:val="0"/>
                          <w:marBottom w:val="0"/>
                          <w:divBdr>
                            <w:top w:val="single" w:sz="2" w:space="0" w:color="D9D9E3"/>
                            <w:left w:val="single" w:sz="2" w:space="0" w:color="D9D9E3"/>
                            <w:bottom w:val="single" w:sz="2" w:space="0" w:color="D9D9E3"/>
                            <w:right w:val="single" w:sz="2" w:space="0" w:color="D9D9E3"/>
                          </w:divBdr>
                          <w:divsChild>
                            <w:div w:id="152651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442656">
                                  <w:marLeft w:val="0"/>
                                  <w:marRight w:val="0"/>
                                  <w:marTop w:val="0"/>
                                  <w:marBottom w:val="0"/>
                                  <w:divBdr>
                                    <w:top w:val="single" w:sz="2" w:space="0" w:color="D9D9E3"/>
                                    <w:left w:val="single" w:sz="2" w:space="0" w:color="D9D9E3"/>
                                    <w:bottom w:val="single" w:sz="2" w:space="0" w:color="D9D9E3"/>
                                    <w:right w:val="single" w:sz="2" w:space="0" w:color="D9D9E3"/>
                                  </w:divBdr>
                                  <w:divsChild>
                                    <w:div w:id="2031105037">
                                      <w:marLeft w:val="0"/>
                                      <w:marRight w:val="0"/>
                                      <w:marTop w:val="0"/>
                                      <w:marBottom w:val="0"/>
                                      <w:divBdr>
                                        <w:top w:val="single" w:sz="2" w:space="0" w:color="D9D9E3"/>
                                        <w:left w:val="single" w:sz="2" w:space="0" w:color="D9D9E3"/>
                                        <w:bottom w:val="single" w:sz="2" w:space="0" w:color="D9D9E3"/>
                                        <w:right w:val="single" w:sz="2" w:space="0" w:color="D9D9E3"/>
                                      </w:divBdr>
                                      <w:divsChild>
                                        <w:div w:id="948314574">
                                          <w:marLeft w:val="0"/>
                                          <w:marRight w:val="0"/>
                                          <w:marTop w:val="0"/>
                                          <w:marBottom w:val="0"/>
                                          <w:divBdr>
                                            <w:top w:val="single" w:sz="2" w:space="0" w:color="D9D9E3"/>
                                            <w:left w:val="single" w:sz="2" w:space="0" w:color="D9D9E3"/>
                                            <w:bottom w:val="single" w:sz="2" w:space="0" w:color="D9D9E3"/>
                                            <w:right w:val="single" w:sz="2" w:space="0" w:color="D9D9E3"/>
                                          </w:divBdr>
                                          <w:divsChild>
                                            <w:div w:id="2035304411">
                                              <w:marLeft w:val="0"/>
                                              <w:marRight w:val="0"/>
                                              <w:marTop w:val="0"/>
                                              <w:marBottom w:val="0"/>
                                              <w:divBdr>
                                                <w:top w:val="single" w:sz="2" w:space="0" w:color="D9D9E3"/>
                                                <w:left w:val="single" w:sz="2" w:space="0" w:color="D9D9E3"/>
                                                <w:bottom w:val="single" w:sz="2" w:space="0" w:color="D9D9E3"/>
                                                <w:right w:val="single" w:sz="2" w:space="0" w:color="D9D9E3"/>
                                              </w:divBdr>
                                              <w:divsChild>
                                                <w:div w:id="1859542629">
                                                  <w:marLeft w:val="0"/>
                                                  <w:marRight w:val="0"/>
                                                  <w:marTop w:val="0"/>
                                                  <w:marBottom w:val="0"/>
                                                  <w:divBdr>
                                                    <w:top w:val="single" w:sz="2" w:space="0" w:color="D9D9E3"/>
                                                    <w:left w:val="single" w:sz="2" w:space="0" w:color="D9D9E3"/>
                                                    <w:bottom w:val="single" w:sz="2" w:space="0" w:color="D9D9E3"/>
                                                    <w:right w:val="single" w:sz="2" w:space="0" w:color="D9D9E3"/>
                                                  </w:divBdr>
                                                  <w:divsChild>
                                                    <w:div w:id="2065250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6032520">
          <w:marLeft w:val="0"/>
          <w:marRight w:val="0"/>
          <w:marTop w:val="0"/>
          <w:marBottom w:val="0"/>
          <w:divBdr>
            <w:top w:val="none" w:sz="0" w:space="0" w:color="auto"/>
            <w:left w:val="none" w:sz="0" w:space="0" w:color="auto"/>
            <w:bottom w:val="none" w:sz="0" w:space="0" w:color="auto"/>
            <w:right w:val="none" w:sz="0" w:space="0" w:color="auto"/>
          </w:divBdr>
        </w:div>
      </w:divsChild>
    </w:div>
    <w:div w:id="355352072">
      <w:bodyDiv w:val="1"/>
      <w:marLeft w:val="0"/>
      <w:marRight w:val="0"/>
      <w:marTop w:val="0"/>
      <w:marBottom w:val="0"/>
      <w:divBdr>
        <w:top w:val="none" w:sz="0" w:space="0" w:color="auto"/>
        <w:left w:val="none" w:sz="0" w:space="0" w:color="auto"/>
        <w:bottom w:val="none" w:sz="0" w:space="0" w:color="auto"/>
        <w:right w:val="none" w:sz="0" w:space="0" w:color="auto"/>
      </w:divBdr>
    </w:div>
    <w:div w:id="370884929">
      <w:bodyDiv w:val="1"/>
      <w:marLeft w:val="0"/>
      <w:marRight w:val="0"/>
      <w:marTop w:val="0"/>
      <w:marBottom w:val="0"/>
      <w:divBdr>
        <w:top w:val="none" w:sz="0" w:space="0" w:color="auto"/>
        <w:left w:val="none" w:sz="0" w:space="0" w:color="auto"/>
        <w:bottom w:val="none" w:sz="0" w:space="0" w:color="auto"/>
        <w:right w:val="none" w:sz="0" w:space="0" w:color="auto"/>
      </w:divBdr>
    </w:div>
    <w:div w:id="417944865">
      <w:bodyDiv w:val="1"/>
      <w:marLeft w:val="0"/>
      <w:marRight w:val="0"/>
      <w:marTop w:val="0"/>
      <w:marBottom w:val="0"/>
      <w:divBdr>
        <w:top w:val="none" w:sz="0" w:space="0" w:color="auto"/>
        <w:left w:val="none" w:sz="0" w:space="0" w:color="auto"/>
        <w:bottom w:val="none" w:sz="0" w:space="0" w:color="auto"/>
        <w:right w:val="none" w:sz="0" w:space="0" w:color="auto"/>
      </w:divBdr>
    </w:div>
    <w:div w:id="456334200">
      <w:bodyDiv w:val="1"/>
      <w:marLeft w:val="0"/>
      <w:marRight w:val="0"/>
      <w:marTop w:val="0"/>
      <w:marBottom w:val="0"/>
      <w:divBdr>
        <w:top w:val="none" w:sz="0" w:space="0" w:color="auto"/>
        <w:left w:val="none" w:sz="0" w:space="0" w:color="auto"/>
        <w:bottom w:val="none" w:sz="0" w:space="0" w:color="auto"/>
        <w:right w:val="none" w:sz="0" w:space="0" w:color="auto"/>
      </w:divBdr>
    </w:div>
    <w:div w:id="527330700">
      <w:bodyDiv w:val="1"/>
      <w:marLeft w:val="0"/>
      <w:marRight w:val="0"/>
      <w:marTop w:val="0"/>
      <w:marBottom w:val="0"/>
      <w:divBdr>
        <w:top w:val="none" w:sz="0" w:space="0" w:color="auto"/>
        <w:left w:val="none" w:sz="0" w:space="0" w:color="auto"/>
        <w:bottom w:val="none" w:sz="0" w:space="0" w:color="auto"/>
        <w:right w:val="none" w:sz="0" w:space="0" w:color="auto"/>
      </w:divBdr>
    </w:div>
    <w:div w:id="534468534">
      <w:bodyDiv w:val="1"/>
      <w:marLeft w:val="0"/>
      <w:marRight w:val="0"/>
      <w:marTop w:val="0"/>
      <w:marBottom w:val="0"/>
      <w:divBdr>
        <w:top w:val="none" w:sz="0" w:space="0" w:color="auto"/>
        <w:left w:val="none" w:sz="0" w:space="0" w:color="auto"/>
        <w:bottom w:val="none" w:sz="0" w:space="0" w:color="auto"/>
        <w:right w:val="none" w:sz="0" w:space="0" w:color="auto"/>
      </w:divBdr>
    </w:div>
    <w:div w:id="540558761">
      <w:bodyDiv w:val="1"/>
      <w:marLeft w:val="0"/>
      <w:marRight w:val="0"/>
      <w:marTop w:val="0"/>
      <w:marBottom w:val="0"/>
      <w:divBdr>
        <w:top w:val="none" w:sz="0" w:space="0" w:color="auto"/>
        <w:left w:val="none" w:sz="0" w:space="0" w:color="auto"/>
        <w:bottom w:val="none" w:sz="0" w:space="0" w:color="auto"/>
        <w:right w:val="none" w:sz="0" w:space="0" w:color="auto"/>
      </w:divBdr>
    </w:div>
    <w:div w:id="597910696">
      <w:bodyDiv w:val="1"/>
      <w:marLeft w:val="0"/>
      <w:marRight w:val="0"/>
      <w:marTop w:val="0"/>
      <w:marBottom w:val="0"/>
      <w:divBdr>
        <w:top w:val="none" w:sz="0" w:space="0" w:color="auto"/>
        <w:left w:val="none" w:sz="0" w:space="0" w:color="auto"/>
        <w:bottom w:val="none" w:sz="0" w:space="0" w:color="auto"/>
        <w:right w:val="none" w:sz="0" w:space="0" w:color="auto"/>
      </w:divBdr>
    </w:div>
    <w:div w:id="730811003">
      <w:bodyDiv w:val="1"/>
      <w:marLeft w:val="0"/>
      <w:marRight w:val="0"/>
      <w:marTop w:val="0"/>
      <w:marBottom w:val="0"/>
      <w:divBdr>
        <w:top w:val="none" w:sz="0" w:space="0" w:color="auto"/>
        <w:left w:val="none" w:sz="0" w:space="0" w:color="auto"/>
        <w:bottom w:val="none" w:sz="0" w:space="0" w:color="auto"/>
        <w:right w:val="none" w:sz="0" w:space="0" w:color="auto"/>
      </w:divBdr>
    </w:div>
    <w:div w:id="859124275">
      <w:bodyDiv w:val="1"/>
      <w:marLeft w:val="0"/>
      <w:marRight w:val="0"/>
      <w:marTop w:val="0"/>
      <w:marBottom w:val="0"/>
      <w:divBdr>
        <w:top w:val="none" w:sz="0" w:space="0" w:color="auto"/>
        <w:left w:val="none" w:sz="0" w:space="0" w:color="auto"/>
        <w:bottom w:val="none" w:sz="0" w:space="0" w:color="auto"/>
        <w:right w:val="none" w:sz="0" w:space="0" w:color="auto"/>
      </w:divBdr>
    </w:div>
    <w:div w:id="893735025">
      <w:bodyDiv w:val="1"/>
      <w:marLeft w:val="0"/>
      <w:marRight w:val="0"/>
      <w:marTop w:val="0"/>
      <w:marBottom w:val="0"/>
      <w:divBdr>
        <w:top w:val="none" w:sz="0" w:space="0" w:color="auto"/>
        <w:left w:val="none" w:sz="0" w:space="0" w:color="auto"/>
        <w:bottom w:val="none" w:sz="0" w:space="0" w:color="auto"/>
        <w:right w:val="none" w:sz="0" w:space="0" w:color="auto"/>
      </w:divBdr>
    </w:div>
    <w:div w:id="896627147">
      <w:bodyDiv w:val="1"/>
      <w:marLeft w:val="0"/>
      <w:marRight w:val="0"/>
      <w:marTop w:val="0"/>
      <w:marBottom w:val="0"/>
      <w:divBdr>
        <w:top w:val="none" w:sz="0" w:space="0" w:color="auto"/>
        <w:left w:val="none" w:sz="0" w:space="0" w:color="auto"/>
        <w:bottom w:val="none" w:sz="0" w:space="0" w:color="auto"/>
        <w:right w:val="none" w:sz="0" w:space="0" w:color="auto"/>
      </w:divBdr>
    </w:div>
    <w:div w:id="958335891">
      <w:bodyDiv w:val="1"/>
      <w:marLeft w:val="0"/>
      <w:marRight w:val="0"/>
      <w:marTop w:val="0"/>
      <w:marBottom w:val="0"/>
      <w:divBdr>
        <w:top w:val="none" w:sz="0" w:space="0" w:color="auto"/>
        <w:left w:val="none" w:sz="0" w:space="0" w:color="auto"/>
        <w:bottom w:val="none" w:sz="0" w:space="0" w:color="auto"/>
        <w:right w:val="none" w:sz="0" w:space="0" w:color="auto"/>
      </w:divBdr>
    </w:div>
    <w:div w:id="1005354595">
      <w:bodyDiv w:val="1"/>
      <w:marLeft w:val="0"/>
      <w:marRight w:val="0"/>
      <w:marTop w:val="0"/>
      <w:marBottom w:val="0"/>
      <w:divBdr>
        <w:top w:val="none" w:sz="0" w:space="0" w:color="auto"/>
        <w:left w:val="none" w:sz="0" w:space="0" w:color="auto"/>
        <w:bottom w:val="none" w:sz="0" w:space="0" w:color="auto"/>
        <w:right w:val="none" w:sz="0" w:space="0" w:color="auto"/>
      </w:divBdr>
    </w:div>
    <w:div w:id="1040399878">
      <w:bodyDiv w:val="1"/>
      <w:marLeft w:val="0"/>
      <w:marRight w:val="0"/>
      <w:marTop w:val="0"/>
      <w:marBottom w:val="0"/>
      <w:divBdr>
        <w:top w:val="none" w:sz="0" w:space="0" w:color="auto"/>
        <w:left w:val="none" w:sz="0" w:space="0" w:color="auto"/>
        <w:bottom w:val="none" w:sz="0" w:space="0" w:color="auto"/>
        <w:right w:val="none" w:sz="0" w:space="0" w:color="auto"/>
      </w:divBdr>
    </w:div>
    <w:div w:id="1044913427">
      <w:bodyDiv w:val="1"/>
      <w:marLeft w:val="0"/>
      <w:marRight w:val="0"/>
      <w:marTop w:val="0"/>
      <w:marBottom w:val="0"/>
      <w:divBdr>
        <w:top w:val="none" w:sz="0" w:space="0" w:color="auto"/>
        <w:left w:val="none" w:sz="0" w:space="0" w:color="auto"/>
        <w:bottom w:val="none" w:sz="0" w:space="0" w:color="auto"/>
        <w:right w:val="none" w:sz="0" w:space="0" w:color="auto"/>
      </w:divBdr>
    </w:div>
    <w:div w:id="1054543532">
      <w:bodyDiv w:val="1"/>
      <w:marLeft w:val="0"/>
      <w:marRight w:val="0"/>
      <w:marTop w:val="0"/>
      <w:marBottom w:val="0"/>
      <w:divBdr>
        <w:top w:val="none" w:sz="0" w:space="0" w:color="auto"/>
        <w:left w:val="none" w:sz="0" w:space="0" w:color="auto"/>
        <w:bottom w:val="none" w:sz="0" w:space="0" w:color="auto"/>
        <w:right w:val="none" w:sz="0" w:space="0" w:color="auto"/>
      </w:divBdr>
    </w:div>
    <w:div w:id="1122505009">
      <w:bodyDiv w:val="1"/>
      <w:marLeft w:val="0"/>
      <w:marRight w:val="0"/>
      <w:marTop w:val="0"/>
      <w:marBottom w:val="0"/>
      <w:divBdr>
        <w:top w:val="none" w:sz="0" w:space="0" w:color="auto"/>
        <w:left w:val="none" w:sz="0" w:space="0" w:color="auto"/>
        <w:bottom w:val="none" w:sz="0" w:space="0" w:color="auto"/>
        <w:right w:val="none" w:sz="0" w:space="0" w:color="auto"/>
      </w:divBdr>
    </w:div>
    <w:div w:id="1122960815">
      <w:bodyDiv w:val="1"/>
      <w:marLeft w:val="0"/>
      <w:marRight w:val="0"/>
      <w:marTop w:val="0"/>
      <w:marBottom w:val="0"/>
      <w:divBdr>
        <w:top w:val="none" w:sz="0" w:space="0" w:color="auto"/>
        <w:left w:val="none" w:sz="0" w:space="0" w:color="auto"/>
        <w:bottom w:val="none" w:sz="0" w:space="0" w:color="auto"/>
        <w:right w:val="none" w:sz="0" w:space="0" w:color="auto"/>
      </w:divBdr>
    </w:div>
    <w:div w:id="1188569265">
      <w:bodyDiv w:val="1"/>
      <w:marLeft w:val="0"/>
      <w:marRight w:val="0"/>
      <w:marTop w:val="0"/>
      <w:marBottom w:val="0"/>
      <w:divBdr>
        <w:top w:val="none" w:sz="0" w:space="0" w:color="auto"/>
        <w:left w:val="none" w:sz="0" w:space="0" w:color="auto"/>
        <w:bottom w:val="none" w:sz="0" w:space="0" w:color="auto"/>
        <w:right w:val="none" w:sz="0" w:space="0" w:color="auto"/>
      </w:divBdr>
    </w:div>
    <w:div w:id="1292327280">
      <w:bodyDiv w:val="1"/>
      <w:marLeft w:val="0"/>
      <w:marRight w:val="0"/>
      <w:marTop w:val="0"/>
      <w:marBottom w:val="0"/>
      <w:divBdr>
        <w:top w:val="none" w:sz="0" w:space="0" w:color="auto"/>
        <w:left w:val="none" w:sz="0" w:space="0" w:color="auto"/>
        <w:bottom w:val="none" w:sz="0" w:space="0" w:color="auto"/>
        <w:right w:val="none" w:sz="0" w:space="0" w:color="auto"/>
      </w:divBdr>
    </w:div>
    <w:div w:id="1300763565">
      <w:bodyDiv w:val="1"/>
      <w:marLeft w:val="0"/>
      <w:marRight w:val="0"/>
      <w:marTop w:val="0"/>
      <w:marBottom w:val="0"/>
      <w:divBdr>
        <w:top w:val="none" w:sz="0" w:space="0" w:color="auto"/>
        <w:left w:val="none" w:sz="0" w:space="0" w:color="auto"/>
        <w:bottom w:val="none" w:sz="0" w:space="0" w:color="auto"/>
        <w:right w:val="none" w:sz="0" w:space="0" w:color="auto"/>
      </w:divBdr>
    </w:div>
    <w:div w:id="1304651661">
      <w:bodyDiv w:val="1"/>
      <w:marLeft w:val="0"/>
      <w:marRight w:val="0"/>
      <w:marTop w:val="0"/>
      <w:marBottom w:val="0"/>
      <w:divBdr>
        <w:top w:val="none" w:sz="0" w:space="0" w:color="auto"/>
        <w:left w:val="none" w:sz="0" w:space="0" w:color="auto"/>
        <w:bottom w:val="none" w:sz="0" w:space="0" w:color="auto"/>
        <w:right w:val="none" w:sz="0" w:space="0" w:color="auto"/>
      </w:divBdr>
    </w:div>
    <w:div w:id="1338851989">
      <w:bodyDiv w:val="1"/>
      <w:marLeft w:val="0"/>
      <w:marRight w:val="0"/>
      <w:marTop w:val="0"/>
      <w:marBottom w:val="0"/>
      <w:divBdr>
        <w:top w:val="none" w:sz="0" w:space="0" w:color="auto"/>
        <w:left w:val="none" w:sz="0" w:space="0" w:color="auto"/>
        <w:bottom w:val="none" w:sz="0" w:space="0" w:color="auto"/>
        <w:right w:val="none" w:sz="0" w:space="0" w:color="auto"/>
      </w:divBdr>
      <w:divsChild>
        <w:div w:id="154539232">
          <w:marLeft w:val="0"/>
          <w:marRight w:val="0"/>
          <w:marTop w:val="0"/>
          <w:marBottom w:val="0"/>
          <w:divBdr>
            <w:top w:val="none" w:sz="0" w:space="0" w:color="auto"/>
            <w:left w:val="none" w:sz="0" w:space="0" w:color="auto"/>
            <w:bottom w:val="none" w:sz="0" w:space="0" w:color="auto"/>
            <w:right w:val="none" w:sz="0" w:space="0" w:color="auto"/>
          </w:divBdr>
          <w:divsChild>
            <w:div w:id="1678922204">
              <w:marLeft w:val="0"/>
              <w:marRight w:val="0"/>
              <w:marTop w:val="0"/>
              <w:marBottom w:val="0"/>
              <w:divBdr>
                <w:top w:val="none" w:sz="0" w:space="0" w:color="auto"/>
                <w:left w:val="none" w:sz="0" w:space="0" w:color="auto"/>
                <w:bottom w:val="none" w:sz="0" w:space="0" w:color="auto"/>
                <w:right w:val="none" w:sz="0" w:space="0" w:color="auto"/>
              </w:divBdr>
              <w:divsChild>
                <w:div w:id="836462455">
                  <w:marLeft w:val="0"/>
                  <w:marRight w:val="0"/>
                  <w:marTop w:val="0"/>
                  <w:marBottom w:val="0"/>
                  <w:divBdr>
                    <w:top w:val="none" w:sz="0" w:space="0" w:color="auto"/>
                    <w:left w:val="none" w:sz="0" w:space="0" w:color="auto"/>
                    <w:bottom w:val="none" w:sz="0" w:space="0" w:color="auto"/>
                    <w:right w:val="none" w:sz="0" w:space="0" w:color="auto"/>
                  </w:divBdr>
                  <w:divsChild>
                    <w:div w:id="1994404391">
                      <w:marLeft w:val="0"/>
                      <w:marRight w:val="150"/>
                      <w:marTop w:val="0"/>
                      <w:marBottom w:val="0"/>
                      <w:divBdr>
                        <w:top w:val="none" w:sz="0" w:space="0" w:color="auto"/>
                        <w:left w:val="none" w:sz="0" w:space="0" w:color="auto"/>
                        <w:bottom w:val="none" w:sz="0" w:space="0" w:color="auto"/>
                        <w:right w:val="none" w:sz="0" w:space="0" w:color="auto"/>
                      </w:divBdr>
                    </w:div>
                    <w:div w:id="590968945">
                      <w:marLeft w:val="0"/>
                      <w:marRight w:val="150"/>
                      <w:marTop w:val="0"/>
                      <w:marBottom w:val="0"/>
                      <w:divBdr>
                        <w:top w:val="none" w:sz="0" w:space="0" w:color="auto"/>
                        <w:left w:val="none" w:sz="0" w:space="0" w:color="auto"/>
                        <w:bottom w:val="none" w:sz="0" w:space="0" w:color="auto"/>
                        <w:right w:val="none" w:sz="0" w:space="0" w:color="auto"/>
                      </w:divBdr>
                      <w:divsChild>
                        <w:div w:id="134757735">
                          <w:marLeft w:val="0"/>
                          <w:marRight w:val="150"/>
                          <w:marTop w:val="0"/>
                          <w:marBottom w:val="0"/>
                          <w:divBdr>
                            <w:top w:val="none" w:sz="0" w:space="0" w:color="auto"/>
                            <w:left w:val="none" w:sz="0" w:space="0" w:color="auto"/>
                            <w:bottom w:val="none" w:sz="0" w:space="0" w:color="auto"/>
                            <w:right w:val="none" w:sz="0" w:space="0" w:color="auto"/>
                          </w:divBdr>
                        </w:div>
                      </w:divsChild>
                    </w:div>
                    <w:div w:id="1392734328">
                      <w:marLeft w:val="0"/>
                      <w:marRight w:val="150"/>
                      <w:marTop w:val="0"/>
                      <w:marBottom w:val="0"/>
                      <w:divBdr>
                        <w:top w:val="none" w:sz="0" w:space="0" w:color="auto"/>
                        <w:left w:val="none" w:sz="0" w:space="0" w:color="auto"/>
                        <w:bottom w:val="none" w:sz="0" w:space="0" w:color="auto"/>
                        <w:right w:val="none" w:sz="0" w:space="0" w:color="auto"/>
                      </w:divBdr>
                      <w:divsChild>
                        <w:div w:id="592661982">
                          <w:marLeft w:val="0"/>
                          <w:marRight w:val="150"/>
                          <w:marTop w:val="0"/>
                          <w:marBottom w:val="0"/>
                          <w:divBdr>
                            <w:top w:val="none" w:sz="0" w:space="0" w:color="auto"/>
                            <w:left w:val="none" w:sz="0" w:space="0" w:color="auto"/>
                            <w:bottom w:val="none" w:sz="0" w:space="0" w:color="auto"/>
                            <w:right w:val="none" w:sz="0" w:space="0" w:color="auto"/>
                          </w:divBdr>
                        </w:div>
                      </w:divsChild>
                    </w:div>
                    <w:div w:id="33504839">
                      <w:marLeft w:val="0"/>
                      <w:marRight w:val="150"/>
                      <w:marTop w:val="0"/>
                      <w:marBottom w:val="0"/>
                      <w:divBdr>
                        <w:top w:val="none" w:sz="0" w:space="0" w:color="auto"/>
                        <w:left w:val="none" w:sz="0" w:space="0" w:color="auto"/>
                        <w:bottom w:val="none" w:sz="0" w:space="0" w:color="auto"/>
                        <w:right w:val="none" w:sz="0" w:space="0" w:color="auto"/>
                      </w:divBdr>
                      <w:divsChild>
                        <w:div w:id="1260990110">
                          <w:marLeft w:val="0"/>
                          <w:marRight w:val="150"/>
                          <w:marTop w:val="0"/>
                          <w:marBottom w:val="0"/>
                          <w:divBdr>
                            <w:top w:val="none" w:sz="0" w:space="0" w:color="auto"/>
                            <w:left w:val="none" w:sz="0" w:space="0" w:color="auto"/>
                            <w:bottom w:val="none" w:sz="0" w:space="0" w:color="auto"/>
                            <w:right w:val="none" w:sz="0" w:space="0" w:color="auto"/>
                          </w:divBdr>
                        </w:div>
                      </w:divsChild>
                    </w:div>
                    <w:div w:id="1234466419">
                      <w:marLeft w:val="0"/>
                      <w:marRight w:val="150"/>
                      <w:marTop w:val="0"/>
                      <w:marBottom w:val="0"/>
                      <w:divBdr>
                        <w:top w:val="none" w:sz="0" w:space="0" w:color="auto"/>
                        <w:left w:val="none" w:sz="0" w:space="0" w:color="auto"/>
                        <w:bottom w:val="none" w:sz="0" w:space="0" w:color="auto"/>
                        <w:right w:val="none" w:sz="0" w:space="0" w:color="auto"/>
                      </w:divBdr>
                      <w:divsChild>
                        <w:div w:id="1369067381">
                          <w:marLeft w:val="0"/>
                          <w:marRight w:val="150"/>
                          <w:marTop w:val="0"/>
                          <w:marBottom w:val="0"/>
                          <w:divBdr>
                            <w:top w:val="none" w:sz="0" w:space="0" w:color="auto"/>
                            <w:left w:val="none" w:sz="0" w:space="0" w:color="auto"/>
                            <w:bottom w:val="none" w:sz="0" w:space="0" w:color="auto"/>
                            <w:right w:val="none" w:sz="0" w:space="0" w:color="auto"/>
                          </w:divBdr>
                        </w:div>
                      </w:divsChild>
                    </w:div>
                    <w:div w:id="696195490">
                      <w:marLeft w:val="0"/>
                      <w:marRight w:val="150"/>
                      <w:marTop w:val="0"/>
                      <w:marBottom w:val="0"/>
                      <w:divBdr>
                        <w:top w:val="none" w:sz="0" w:space="0" w:color="auto"/>
                        <w:left w:val="none" w:sz="0" w:space="0" w:color="auto"/>
                        <w:bottom w:val="none" w:sz="0" w:space="0" w:color="auto"/>
                        <w:right w:val="none" w:sz="0" w:space="0" w:color="auto"/>
                      </w:divBdr>
                      <w:divsChild>
                        <w:div w:id="139539574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8921937">
              <w:marLeft w:val="0"/>
              <w:marRight w:val="0"/>
              <w:marTop w:val="0"/>
              <w:marBottom w:val="0"/>
              <w:divBdr>
                <w:top w:val="none" w:sz="0" w:space="0" w:color="auto"/>
                <w:left w:val="none" w:sz="0" w:space="0" w:color="auto"/>
                <w:bottom w:val="none" w:sz="0" w:space="0" w:color="auto"/>
                <w:right w:val="none" w:sz="0" w:space="0" w:color="auto"/>
              </w:divBdr>
            </w:div>
            <w:div w:id="1155873690">
              <w:marLeft w:val="0"/>
              <w:marRight w:val="0"/>
              <w:marTop w:val="0"/>
              <w:marBottom w:val="0"/>
              <w:divBdr>
                <w:top w:val="none" w:sz="0" w:space="0" w:color="auto"/>
                <w:left w:val="none" w:sz="0" w:space="0" w:color="auto"/>
                <w:bottom w:val="none" w:sz="0" w:space="0" w:color="auto"/>
                <w:right w:val="none" w:sz="0" w:space="0" w:color="auto"/>
              </w:divBdr>
            </w:div>
            <w:div w:id="262807609">
              <w:marLeft w:val="0"/>
              <w:marRight w:val="0"/>
              <w:marTop w:val="0"/>
              <w:marBottom w:val="0"/>
              <w:divBdr>
                <w:top w:val="none" w:sz="0" w:space="0" w:color="auto"/>
                <w:left w:val="none" w:sz="0" w:space="0" w:color="auto"/>
                <w:bottom w:val="none" w:sz="0" w:space="0" w:color="auto"/>
                <w:right w:val="none" w:sz="0" w:space="0" w:color="auto"/>
              </w:divBdr>
            </w:div>
            <w:div w:id="1212960278">
              <w:marLeft w:val="0"/>
              <w:marRight w:val="0"/>
              <w:marTop w:val="0"/>
              <w:marBottom w:val="0"/>
              <w:divBdr>
                <w:top w:val="none" w:sz="0" w:space="0" w:color="auto"/>
                <w:left w:val="none" w:sz="0" w:space="0" w:color="auto"/>
                <w:bottom w:val="none" w:sz="0" w:space="0" w:color="auto"/>
                <w:right w:val="none" w:sz="0" w:space="0" w:color="auto"/>
              </w:divBdr>
            </w:div>
            <w:div w:id="1389065175">
              <w:marLeft w:val="0"/>
              <w:marRight w:val="0"/>
              <w:marTop w:val="0"/>
              <w:marBottom w:val="0"/>
              <w:divBdr>
                <w:top w:val="none" w:sz="0" w:space="0" w:color="auto"/>
                <w:left w:val="none" w:sz="0" w:space="0" w:color="auto"/>
                <w:bottom w:val="none" w:sz="0" w:space="0" w:color="auto"/>
                <w:right w:val="none" w:sz="0" w:space="0" w:color="auto"/>
              </w:divBdr>
            </w:div>
            <w:div w:id="483400806">
              <w:marLeft w:val="0"/>
              <w:marRight w:val="0"/>
              <w:marTop w:val="0"/>
              <w:marBottom w:val="0"/>
              <w:divBdr>
                <w:top w:val="none" w:sz="0" w:space="0" w:color="auto"/>
                <w:left w:val="none" w:sz="0" w:space="0" w:color="auto"/>
                <w:bottom w:val="none" w:sz="0" w:space="0" w:color="auto"/>
                <w:right w:val="none" w:sz="0" w:space="0" w:color="auto"/>
              </w:divBdr>
            </w:div>
          </w:divsChild>
        </w:div>
        <w:div w:id="1386173224">
          <w:marLeft w:val="0"/>
          <w:marRight w:val="0"/>
          <w:marTop w:val="0"/>
          <w:marBottom w:val="0"/>
          <w:divBdr>
            <w:top w:val="single" w:sz="6" w:space="4" w:color="D6DADC"/>
            <w:left w:val="none" w:sz="0" w:space="4" w:color="D6DADC"/>
            <w:bottom w:val="none" w:sz="0" w:space="4" w:color="D6DADC"/>
            <w:right w:val="none" w:sz="0" w:space="4" w:color="D6DADC"/>
          </w:divBdr>
        </w:div>
      </w:divsChild>
    </w:div>
    <w:div w:id="1495487530">
      <w:bodyDiv w:val="1"/>
      <w:marLeft w:val="0"/>
      <w:marRight w:val="0"/>
      <w:marTop w:val="0"/>
      <w:marBottom w:val="0"/>
      <w:divBdr>
        <w:top w:val="none" w:sz="0" w:space="0" w:color="auto"/>
        <w:left w:val="none" w:sz="0" w:space="0" w:color="auto"/>
        <w:bottom w:val="none" w:sz="0" w:space="0" w:color="auto"/>
        <w:right w:val="none" w:sz="0" w:space="0" w:color="auto"/>
      </w:divBdr>
    </w:div>
    <w:div w:id="1527788034">
      <w:bodyDiv w:val="1"/>
      <w:marLeft w:val="0"/>
      <w:marRight w:val="0"/>
      <w:marTop w:val="0"/>
      <w:marBottom w:val="0"/>
      <w:divBdr>
        <w:top w:val="none" w:sz="0" w:space="0" w:color="auto"/>
        <w:left w:val="none" w:sz="0" w:space="0" w:color="auto"/>
        <w:bottom w:val="none" w:sz="0" w:space="0" w:color="auto"/>
        <w:right w:val="none" w:sz="0" w:space="0" w:color="auto"/>
      </w:divBdr>
    </w:div>
    <w:div w:id="1547835434">
      <w:bodyDiv w:val="1"/>
      <w:marLeft w:val="0"/>
      <w:marRight w:val="0"/>
      <w:marTop w:val="0"/>
      <w:marBottom w:val="0"/>
      <w:divBdr>
        <w:top w:val="none" w:sz="0" w:space="0" w:color="auto"/>
        <w:left w:val="none" w:sz="0" w:space="0" w:color="auto"/>
        <w:bottom w:val="none" w:sz="0" w:space="0" w:color="auto"/>
        <w:right w:val="none" w:sz="0" w:space="0" w:color="auto"/>
      </w:divBdr>
    </w:div>
    <w:div w:id="1568027933">
      <w:bodyDiv w:val="1"/>
      <w:marLeft w:val="0"/>
      <w:marRight w:val="0"/>
      <w:marTop w:val="0"/>
      <w:marBottom w:val="0"/>
      <w:divBdr>
        <w:top w:val="none" w:sz="0" w:space="0" w:color="auto"/>
        <w:left w:val="none" w:sz="0" w:space="0" w:color="auto"/>
        <w:bottom w:val="none" w:sz="0" w:space="0" w:color="auto"/>
        <w:right w:val="none" w:sz="0" w:space="0" w:color="auto"/>
      </w:divBdr>
    </w:div>
    <w:div w:id="1574730379">
      <w:bodyDiv w:val="1"/>
      <w:marLeft w:val="0"/>
      <w:marRight w:val="0"/>
      <w:marTop w:val="0"/>
      <w:marBottom w:val="0"/>
      <w:divBdr>
        <w:top w:val="none" w:sz="0" w:space="0" w:color="auto"/>
        <w:left w:val="none" w:sz="0" w:space="0" w:color="auto"/>
        <w:bottom w:val="none" w:sz="0" w:space="0" w:color="auto"/>
        <w:right w:val="none" w:sz="0" w:space="0" w:color="auto"/>
      </w:divBdr>
    </w:div>
    <w:div w:id="1646274433">
      <w:bodyDiv w:val="1"/>
      <w:marLeft w:val="0"/>
      <w:marRight w:val="0"/>
      <w:marTop w:val="0"/>
      <w:marBottom w:val="0"/>
      <w:divBdr>
        <w:top w:val="none" w:sz="0" w:space="0" w:color="auto"/>
        <w:left w:val="none" w:sz="0" w:space="0" w:color="auto"/>
        <w:bottom w:val="none" w:sz="0" w:space="0" w:color="auto"/>
        <w:right w:val="none" w:sz="0" w:space="0" w:color="auto"/>
      </w:divBdr>
    </w:div>
    <w:div w:id="1654525421">
      <w:bodyDiv w:val="1"/>
      <w:marLeft w:val="0"/>
      <w:marRight w:val="0"/>
      <w:marTop w:val="0"/>
      <w:marBottom w:val="0"/>
      <w:divBdr>
        <w:top w:val="none" w:sz="0" w:space="0" w:color="auto"/>
        <w:left w:val="none" w:sz="0" w:space="0" w:color="auto"/>
        <w:bottom w:val="none" w:sz="0" w:space="0" w:color="auto"/>
        <w:right w:val="none" w:sz="0" w:space="0" w:color="auto"/>
      </w:divBdr>
    </w:div>
    <w:div w:id="1722435453">
      <w:bodyDiv w:val="1"/>
      <w:marLeft w:val="0"/>
      <w:marRight w:val="0"/>
      <w:marTop w:val="0"/>
      <w:marBottom w:val="0"/>
      <w:divBdr>
        <w:top w:val="none" w:sz="0" w:space="0" w:color="auto"/>
        <w:left w:val="none" w:sz="0" w:space="0" w:color="auto"/>
        <w:bottom w:val="none" w:sz="0" w:space="0" w:color="auto"/>
        <w:right w:val="none" w:sz="0" w:space="0" w:color="auto"/>
      </w:divBdr>
    </w:div>
    <w:div w:id="1772159413">
      <w:bodyDiv w:val="1"/>
      <w:marLeft w:val="0"/>
      <w:marRight w:val="0"/>
      <w:marTop w:val="0"/>
      <w:marBottom w:val="0"/>
      <w:divBdr>
        <w:top w:val="none" w:sz="0" w:space="0" w:color="auto"/>
        <w:left w:val="none" w:sz="0" w:space="0" w:color="auto"/>
        <w:bottom w:val="none" w:sz="0" w:space="0" w:color="auto"/>
        <w:right w:val="none" w:sz="0" w:space="0" w:color="auto"/>
      </w:divBdr>
    </w:div>
    <w:div w:id="1832063243">
      <w:bodyDiv w:val="1"/>
      <w:marLeft w:val="0"/>
      <w:marRight w:val="0"/>
      <w:marTop w:val="0"/>
      <w:marBottom w:val="0"/>
      <w:divBdr>
        <w:top w:val="none" w:sz="0" w:space="0" w:color="auto"/>
        <w:left w:val="none" w:sz="0" w:space="0" w:color="auto"/>
        <w:bottom w:val="none" w:sz="0" w:space="0" w:color="auto"/>
        <w:right w:val="none" w:sz="0" w:space="0" w:color="auto"/>
      </w:divBdr>
    </w:div>
    <w:div w:id="1901624151">
      <w:bodyDiv w:val="1"/>
      <w:marLeft w:val="0"/>
      <w:marRight w:val="0"/>
      <w:marTop w:val="0"/>
      <w:marBottom w:val="0"/>
      <w:divBdr>
        <w:top w:val="none" w:sz="0" w:space="0" w:color="auto"/>
        <w:left w:val="none" w:sz="0" w:space="0" w:color="auto"/>
        <w:bottom w:val="none" w:sz="0" w:space="0" w:color="auto"/>
        <w:right w:val="none" w:sz="0" w:space="0" w:color="auto"/>
      </w:divBdr>
    </w:div>
    <w:div w:id="1961104953">
      <w:bodyDiv w:val="1"/>
      <w:marLeft w:val="0"/>
      <w:marRight w:val="0"/>
      <w:marTop w:val="0"/>
      <w:marBottom w:val="0"/>
      <w:divBdr>
        <w:top w:val="none" w:sz="0" w:space="0" w:color="auto"/>
        <w:left w:val="none" w:sz="0" w:space="0" w:color="auto"/>
        <w:bottom w:val="none" w:sz="0" w:space="0" w:color="auto"/>
        <w:right w:val="none" w:sz="0" w:space="0" w:color="auto"/>
      </w:divBdr>
    </w:div>
    <w:div w:id="1974676115">
      <w:bodyDiv w:val="1"/>
      <w:marLeft w:val="0"/>
      <w:marRight w:val="0"/>
      <w:marTop w:val="0"/>
      <w:marBottom w:val="0"/>
      <w:divBdr>
        <w:top w:val="none" w:sz="0" w:space="0" w:color="auto"/>
        <w:left w:val="none" w:sz="0" w:space="0" w:color="auto"/>
        <w:bottom w:val="none" w:sz="0" w:space="0" w:color="auto"/>
        <w:right w:val="none" w:sz="0" w:space="0" w:color="auto"/>
      </w:divBdr>
    </w:div>
    <w:div w:id="2036081471">
      <w:bodyDiv w:val="1"/>
      <w:marLeft w:val="0"/>
      <w:marRight w:val="0"/>
      <w:marTop w:val="0"/>
      <w:marBottom w:val="0"/>
      <w:divBdr>
        <w:top w:val="none" w:sz="0" w:space="0" w:color="auto"/>
        <w:left w:val="none" w:sz="0" w:space="0" w:color="auto"/>
        <w:bottom w:val="none" w:sz="0" w:space="0" w:color="auto"/>
        <w:right w:val="none" w:sz="0" w:space="0" w:color="auto"/>
      </w:divBdr>
    </w:div>
    <w:div w:id="2049377978">
      <w:bodyDiv w:val="1"/>
      <w:marLeft w:val="0"/>
      <w:marRight w:val="0"/>
      <w:marTop w:val="0"/>
      <w:marBottom w:val="0"/>
      <w:divBdr>
        <w:top w:val="none" w:sz="0" w:space="0" w:color="auto"/>
        <w:left w:val="none" w:sz="0" w:space="0" w:color="auto"/>
        <w:bottom w:val="none" w:sz="0" w:space="0" w:color="auto"/>
        <w:right w:val="none" w:sz="0" w:space="0" w:color="auto"/>
      </w:divBdr>
    </w:div>
    <w:div w:id="2052604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atharvaarya25/financials"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1236</TotalTime>
  <Pages>7</Pages>
  <Words>1263</Words>
  <Characters>8014</Characters>
  <Application>Microsoft Office Word</Application>
  <DocSecurity>0</DocSecurity>
  <Lines>174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 oteng</dc:creator>
  <cp:lastModifiedBy>nana oteng</cp:lastModifiedBy>
  <cp:revision>206</cp:revision>
  <cp:lastPrinted>2023-11-13T02:12:00Z</cp:lastPrinted>
  <dcterms:created xsi:type="dcterms:W3CDTF">2023-09-26T23:33:00Z</dcterms:created>
  <dcterms:modified xsi:type="dcterms:W3CDTF">2023-12-16T01:15:00Z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Microsoft® Word for Microsoft 365</vt:lpwstr>
  </property>
  <property fmtid="{D5CDD505-2E9C-101B-9397-08002B2CF9AE}" pid="4" name="LastSaved">
    <vt:filetime>2023-09-26T00:00:00Z</vt:filetime>
  </property>
  <property fmtid="{D5CDD505-2E9C-101B-9397-08002B2CF9AE}" pid="5" name="Producer">
    <vt:lpwstr>Microsoft® Word for Microsoft 365</vt:lpwstr>
  </property>
  <property fmtid="{D5CDD505-2E9C-101B-9397-08002B2CF9AE}" pid="6" name="GrammarlyDocumentId">
    <vt:lpwstr>b2edf793e5e8c8183c5e450ae5475bc861594fe224ca01b1e24fc817fbc94ba0</vt:lpwstr>
  </property>
</Properties>
</file>