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821" w:rsidRDefault="008C4821" w:rsidP="008C4821">
      <w:pPr>
        <w:pStyle w:val="1"/>
      </w:pPr>
      <w:bookmarkStart w:id="0" w:name="_Toc26415_WPSOffice_Level1"/>
      <w:r>
        <w:rPr>
          <w:rFonts w:hint="eastAsia"/>
        </w:rPr>
        <w:t>第二章 决策阶段造价管理</w:t>
      </w:r>
      <w:bookmarkEnd w:id="0"/>
    </w:p>
    <w:p w:rsidR="0066764A" w:rsidRDefault="0066764A" w:rsidP="00926027">
      <w:pPr>
        <w:rPr>
          <w:sz w:val="24"/>
        </w:rPr>
      </w:pPr>
      <w:r>
        <w:rPr>
          <w:rFonts w:hint="eastAsia"/>
          <w:sz w:val="24"/>
        </w:rPr>
        <w:t>【教学目标】</w:t>
      </w:r>
    </w:p>
    <w:p w:rsidR="0066764A" w:rsidRDefault="0066764A" w:rsidP="00926027">
      <w:pPr>
        <w:rPr>
          <w:sz w:val="24"/>
        </w:rPr>
      </w:pPr>
      <w:r>
        <w:rPr>
          <w:rFonts w:hint="eastAsia"/>
          <w:sz w:val="24"/>
        </w:rPr>
        <w:t>1</w:t>
      </w:r>
      <w:r>
        <w:rPr>
          <w:sz w:val="24"/>
        </w:rPr>
        <w:t>.</w:t>
      </w:r>
      <w:r>
        <w:rPr>
          <w:rFonts w:hint="eastAsia"/>
          <w:sz w:val="24"/>
        </w:rPr>
        <w:t>理解可</w:t>
      </w:r>
      <w:proofErr w:type="gramStart"/>
      <w:r>
        <w:rPr>
          <w:rFonts w:hint="eastAsia"/>
          <w:sz w:val="24"/>
        </w:rPr>
        <w:t>研</w:t>
      </w:r>
      <w:proofErr w:type="gramEnd"/>
      <w:r>
        <w:rPr>
          <w:rFonts w:hint="eastAsia"/>
          <w:sz w:val="24"/>
        </w:rPr>
        <w:t>估算的作用与意义</w:t>
      </w:r>
    </w:p>
    <w:p w:rsidR="0066764A" w:rsidRDefault="0066764A" w:rsidP="00926027">
      <w:pPr>
        <w:rPr>
          <w:sz w:val="24"/>
        </w:rPr>
      </w:pPr>
      <w:r>
        <w:rPr>
          <w:rFonts w:hint="eastAsia"/>
          <w:sz w:val="24"/>
        </w:rPr>
        <w:t>2</w:t>
      </w:r>
      <w:r>
        <w:rPr>
          <w:sz w:val="24"/>
        </w:rPr>
        <w:t>.</w:t>
      </w:r>
      <w:r w:rsidR="000B2EB1">
        <w:rPr>
          <w:rFonts w:hint="eastAsia"/>
          <w:sz w:val="24"/>
        </w:rPr>
        <w:t>掌握可</w:t>
      </w:r>
      <w:proofErr w:type="gramStart"/>
      <w:r w:rsidR="000B2EB1">
        <w:rPr>
          <w:rFonts w:hint="eastAsia"/>
          <w:sz w:val="24"/>
        </w:rPr>
        <w:t>研</w:t>
      </w:r>
      <w:proofErr w:type="gramEnd"/>
      <w:r w:rsidR="000B2EB1">
        <w:rPr>
          <w:rFonts w:hint="eastAsia"/>
          <w:sz w:val="24"/>
        </w:rPr>
        <w:t>估算的深度要求</w:t>
      </w:r>
    </w:p>
    <w:p w:rsidR="000B2EB1" w:rsidRDefault="000B2EB1" w:rsidP="00926027">
      <w:pPr>
        <w:rPr>
          <w:sz w:val="24"/>
        </w:rPr>
      </w:pPr>
      <w:r>
        <w:rPr>
          <w:rFonts w:hint="eastAsia"/>
          <w:sz w:val="24"/>
        </w:rPr>
        <w:t>3</w:t>
      </w:r>
      <w:r>
        <w:rPr>
          <w:sz w:val="24"/>
        </w:rPr>
        <w:t>.</w:t>
      </w:r>
      <w:r>
        <w:rPr>
          <w:rFonts w:hint="eastAsia"/>
          <w:sz w:val="24"/>
        </w:rPr>
        <w:t>准确把握可</w:t>
      </w:r>
      <w:proofErr w:type="gramStart"/>
      <w:r>
        <w:rPr>
          <w:rFonts w:hint="eastAsia"/>
          <w:sz w:val="24"/>
        </w:rPr>
        <w:t>研</w:t>
      </w:r>
      <w:proofErr w:type="gramEnd"/>
      <w:r>
        <w:rPr>
          <w:rFonts w:hint="eastAsia"/>
          <w:sz w:val="24"/>
        </w:rPr>
        <w:t>调整的具体要求</w:t>
      </w:r>
    </w:p>
    <w:p w:rsidR="000B2EB1" w:rsidRDefault="006E7E55" w:rsidP="00926027">
      <w:pPr>
        <w:rPr>
          <w:sz w:val="24"/>
        </w:rPr>
      </w:pPr>
      <w:r>
        <w:rPr>
          <w:rFonts w:hint="eastAsia"/>
          <w:sz w:val="24"/>
        </w:rPr>
        <w:t>4</w:t>
      </w:r>
      <w:r>
        <w:rPr>
          <w:sz w:val="24"/>
        </w:rPr>
        <w:t>.</w:t>
      </w:r>
      <w:r>
        <w:rPr>
          <w:rFonts w:hint="eastAsia"/>
          <w:sz w:val="24"/>
        </w:rPr>
        <w:t>把握可</w:t>
      </w:r>
      <w:proofErr w:type="gramStart"/>
      <w:r>
        <w:rPr>
          <w:rFonts w:hint="eastAsia"/>
          <w:sz w:val="24"/>
        </w:rPr>
        <w:t>研</w:t>
      </w:r>
      <w:proofErr w:type="gramEnd"/>
      <w:r>
        <w:rPr>
          <w:rFonts w:hint="eastAsia"/>
          <w:sz w:val="24"/>
        </w:rPr>
        <w:t>到初设移交的管理规定</w:t>
      </w:r>
    </w:p>
    <w:p w:rsidR="00926027" w:rsidRPr="00926027" w:rsidRDefault="008F63FB" w:rsidP="00926027">
      <w:pPr>
        <w:rPr>
          <w:sz w:val="24"/>
        </w:rPr>
      </w:pPr>
      <w:r w:rsidRPr="008F63FB">
        <w:rPr>
          <w:rFonts w:hint="eastAsia"/>
          <w:sz w:val="24"/>
          <w:highlight w:val="yellow"/>
        </w:rPr>
        <w:t>【</w:t>
      </w:r>
      <w:r w:rsidRPr="008F63FB">
        <w:rPr>
          <w:rFonts w:hint="eastAsia"/>
          <w:sz w:val="24"/>
          <w:highlight w:val="yellow"/>
        </w:rPr>
        <w:t>直接导入：</w:t>
      </w:r>
      <w:r w:rsidRPr="008F63FB">
        <w:rPr>
          <w:rFonts w:hint="eastAsia"/>
          <w:sz w:val="24"/>
          <w:highlight w:val="yellow"/>
        </w:rPr>
        <w:t>】</w:t>
      </w:r>
      <w:r w:rsidR="00926027">
        <w:rPr>
          <w:rFonts w:hint="eastAsia"/>
          <w:sz w:val="24"/>
        </w:rPr>
        <w:t>按照</w:t>
      </w:r>
      <w:r w:rsidR="00635FBF">
        <w:rPr>
          <w:rFonts w:hint="eastAsia"/>
          <w:sz w:val="24"/>
        </w:rPr>
        <w:t>工程造价管理的全过程</w:t>
      </w:r>
      <w:r w:rsidR="003F586D">
        <w:rPr>
          <w:rFonts w:hint="eastAsia"/>
          <w:sz w:val="24"/>
        </w:rPr>
        <w:t>造价管理理念，第一个阶段就是决策阶段的工程造价管理。</w:t>
      </w:r>
      <w:r w:rsidR="0068212C">
        <w:rPr>
          <w:rFonts w:hint="eastAsia"/>
          <w:sz w:val="24"/>
        </w:rPr>
        <w:t>本节课程将重点对可行性研究的投资估算进行讲解。</w:t>
      </w:r>
      <w:r w:rsidR="00EC665E">
        <w:rPr>
          <w:rFonts w:hint="eastAsia"/>
          <w:sz w:val="24"/>
        </w:rPr>
        <w:t>第一部分是对可</w:t>
      </w:r>
      <w:proofErr w:type="gramStart"/>
      <w:r w:rsidR="00EC665E">
        <w:rPr>
          <w:rFonts w:hint="eastAsia"/>
          <w:sz w:val="24"/>
        </w:rPr>
        <w:t>研</w:t>
      </w:r>
      <w:proofErr w:type="gramEnd"/>
      <w:r w:rsidR="00EC665E">
        <w:rPr>
          <w:rFonts w:hint="eastAsia"/>
          <w:sz w:val="24"/>
        </w:rPr>
        <w:t>估算的作用进行解析；第二部分重点讲解可</w:t>
      </w:r>
      <w:proofErr w:type="gramStart"/>
      <w:r w:rsidR="00EC665E">
        <w:rPr>
          <w:rFonts w:hint="eastAsia"/>
          <w:sz w:val="24"/>
        </w:rPr>
        <w:t>研</w:t>
      </w:r>
      <w:proofErr w:type="gramEnd"/>
      <w:r w:rsidR="00EC665E">
        <w:rPr>
          <w:rFonts w:hint="eastAsia"/>
          <w:sz w:val="24"/>
        </w:rPr>
        <w:t>估算的深度要求；第三部分</w:t>
      </w:r>
      <w:r w:rsidR="005B75C7">
        <w:rPr>
          <w:rFonts w:hint="eastAsia"/>
          <w:sz w:val="24"/>
        </w:rPr>
        <w:t>是可</w:t>
      </w:r>
      <w:proofErr w:type="gramStart"/>
      <w:r w:rsidR="005B75C7">
        <w:rPr>
          <w:rFonts w:hint="eastAsia"/>
          <w:sz w:val="24"/>
        </w:rPr>
        <w:t>研</w:t>
      </w:r>
      <w:proofErr w:type="gramEnd"/>
      <w:r w:rsidR="005B75C7">
        <w:rPr>
          <w:rFonts w:hint="eastAsia"/>
          <w:sz w:val="24"/>
        </w:rPr>
        <w:t>调整的管理；第四部分</w:t>
      </w:r>
      <w:r w:rsidR="0088038F">
        <w:rPr>
          <w:rFonts w:hint="eastAsia"/>
          <w:sz w:val="24"/>
        </w:rPr>
        <w:t>将会对可</w:t>
      </w:r>
      <w:proofErr w:type="gramStart"/>
      <w:r w:rsidR="0088038F">
        <w:rPr>
          <w:rFonts w:hint="eastAsia"/>
          <w:sz w:val="24"/>
        </w:rPr>
        <w:t>研</w:t>
      </w:r>
      <w:proofErr w:type="gramEnd"/>
      <w:r w:rsidR="0088038F">
        <w:rPr>
          <w:rFonts w:hint="eastAsia"/>
          <w:sz w:val="24"/>
        </w:rPr>
        <w:t>到初设阶段移交</w:t>
      </w:r>
      <w:r w:rsidR="000852D1">
        <w:rPr>
          <w:rFonts w:hint="eastAsia"/>
          <w:sz w:val="24"/>
        </w:rPr>
        <w:t>的工作要求进行讲解。</w:t>
      </w:r>
    </w:p>
    <w:p w:rsidR="001A6C33" w:rsidRDefault="001A6C33" w:rsidP="008C4821">
      <w:pPr>
        <w:pStyle w:val="3"/>
      </w:pPr>
      <w:bookmarkStart w:id="1" w:name="_Toc18974_WPSOffice_Level3"/>
      <w:r>
        <w:rPr>
          <w:rFonts w:hint="eastAsia"/>
        </w:rPr>
        <w:t>第一章：可行性研究投资估算的作用</w:t>
      </w:r>
    </w:p>
    <w:p w:rsidR="008C4821" w:rsidRDefault="008C4821" w:rsidP="008C4821">
      <w:pPr>
        <w:pStyle w:val="3"/>
      </w:pPr>
      <w:r>
        <w:rPr>
          <w:rFonts w:hint="eastAsia"/>
        </w:rPr>
        <w:t>（一）投资估算的含义与作用</w:t>
      </w:r>
      <w:bookmarkEnd w:id="1"/>
    </w:p>
    <w:p w:rsidR="008C4821" w:rsidRPr="00A7018F" w:rsidRDefault="008C4821" w:rsidP="00A7018F">
      <w:pPr>
        <w:numPr>
          <w:ilvl w:val="0"/>
          <w:numId w:val="2"/>
        </w:numPr>
        <w:spacing w:line="360" w:lineRule="auto"/>
        <w:rPr>
          <w:sz w:val="24"/>
          <w:szCs w:val="32"/>
        </w:rPr>
      </w:pPr>
      <w:bookmarkStart w:id="2" w:name="_Toc5365_WPSOffice_Level3"/>
      <w:r w:rsidRPr="00A7018F">
        <w:rPr>
          <w:rFonts w:hint="eastAsia"/>
          <w:sz w:val="24"/>
          <w:szCs w:val="32"/>
        </w:rPr>
        <w:t>可行性研究投资估算</w:t>
      </w:r>
      <w:bookmarkEnd w:id="2"/>
      <w:r w:rsidR="00A7018F">
        <w:rPr>
          <w:rFonts w:hint="eastAsia"/>
          <w:sz w:val="24"/>
          <w:szCs w:val="32"/>
        </w:rPr>
        <w:t>是什么？</w:t>
      </w:r>
    </w:p>
    <w:p w:rsidR="008C4821" w:rsidRDefault="008C4821" w:rsidP="008C4821">
      <w:pPr>
        <w:spacing w:line="360" w:lineRule="auto"/>
        <w:ind w:firstLineChars="200" w:firstLine="480"/>
        <w:rPr>
          <w:sz w:val="24"/>
          <w:szCs w:val="32"/>
        </w:rPr>
      </w:pPr>
      <w:r>
        <w:rPr>
          <w:rFonts w:hint="eastAsia"/>
          <w:sz w:val="24"/>
          <w:szCs w:val="32"/>
        </w:rPr>
        <w:t>可行性研究投资估算（简称可</w:t>
      </w:r>
      <w:proofErr w:type="gramStart"/>
      <w:r>
        <w:rPr>
          <w:rFonts w:hint="eastAsia"/>
          <w:sz w:val="24"/>
          <w:szCs w:val="32"/>
        </w:rPr>
        <w:t>研</w:t>
      </w:r>
      <w:proofErr w:type="gramEnd"/>
      <w:r>
        <w:rPr>
          <w:rFonts w:hint="eastAsia"/>
          <w:sz w:val="24"/>
          <w:szCs w:val="32"/>
        </w:rPr>
        <w:t>估算）是指以可行性研究文件、方案设计为依据，按照《（电网工程建设预算编制与计算规定》及估算指标或概算定额等计价依据，对拟建项目所需总投资及其构成进行的预测和计算。经具有相关专业资格的人员根据建设预算编制办法进行编制，形成的技术经济文件为可行性研究投资算。</w:t>
      </w:r>
    </w:p>
    <w:p w:rsidR="00336F1E" w:rsidRDefault="008C4821" w:rsidP="00A7018F">
      <w:pPr>
        <w:spacing w:line="360" w:lineRule="auto"/>
        <w:rPr>
          <w:sz w:val="24"/>
          <w:szCs w:val="32"/>
        </w:rPr>
      </w:pPr>
      <w:r>
        <w:rPr>
          <w:rFonts w:hint="eastAsia"/>
          <w:sz w:val="24"/>
          <w:szCs w:val="32"/>
        </w:rPr>
        <w:t>可</w:t>
      </w:r>
      <w:proofErr w:type="gramStart"/>
      <w:r>
        <w:rPr>
          <w:rFonts w:hint="eastAsia"/>
          <w:sz w:val="24"/>
          <w:szCs w:val="32"/>
        </w:rPr>
        <w:t>研</w:t>
      </w:r>
      <w:proofErr w:type="gramEnd"/>
      <w:r>
        <w:rPr>
          <w:rFonts w:hint="eastAsia"/>
          <w:sz w:val="24"/>
          <w:szCs w:val="32"/>
        </w:rPr>
        <w:t>估算作为项目技术经济评价和投资决策的重要依据，有着非常重要的地位</w:t>
      </w:r>
      <w:r w:rsidR="00336F1E">
        <w:rPr>
          <w:rFonts w:hint="eastAsia"/>
          <w:sz w:val="24"/>
          <w:szCs w:val="32"/>
        </w:rPr>
        <w:t>。</w:t>
      </w:r>
      <w:r w:rsidR="00336F1E">
        <w:rPr>
          <w:rFonts w:hint="eastAsia"/>
          <w:sz w:val="24"/>
          <w:szCs w:val="32"/>
        </w:rPr>
        <w:lastRenderedPageBreak/>
        <w:t>那么可以估算在输变电工程的作用主要有哪些呢？</w:t>
      </w:r>
    </w:p>
    <w:p w:rsidR="008C4821" w:rsidRDefault="008C4821" w:rsidP="00A7018F">
      <w:pPr>
        <w:spacing w:line="360" w:lineRule="auto"/>
        <w:rPr>
          <w:sz w:val="24"/>
          <w:szCs w:val="32"/>
        </w:rPr>
      </w:pPr>
      <w:r>
        <w:rPr>
          <w:rFonts w:hint="eastAsia"/>
          <w:sz w:val="24"/>
          <w:szCs w:val="32"/>
        </w:rPr>
        <w:t>在输变电工程中可</w:t>
      </w:r>
      <w:proofErr w:type="gramStart"/>
      <w:r>
        <w:rPr>
          <w:rFonts w:hint="eastAsia"/>
          <w:sz w:val="24"/>
          <w:szCs w:val="32"/>
        </w:rPr>
        <w:t>研</w:t>
      </w:r>
      <w:proofErr w:type="gramEnd"/>
      <w:r>
        <w:rPr>
          <w:rFonts w:hint="eastAsia"/>
          <w:sz w:val="24"/>
          <w:szCs w:val="32"/>
        </w:rPr>
        <w:t>估算的作用主要体现在</w:t>
      </w:r>
      <w:r w:rsidR="00A7018F">
        <w:rPr>
          <w:rFonts w:hint="eastAsia"/>
          <w:sz w:val="24"/>
          <w:szCs w:val="32"/>
        </w:rPr>
        <w:t>两个方面。</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估算是主管部门审批项目建议书的依据之一，也是编制项目规划、确定建设规模的参考依据。</w:t>
      </w:r>
    </w:p>
    <w:p w:rsidR="008C4821" w:rsidRDefault="008C4821" w:rsidP="008C4821">
      <w:pPr>
        <w:spacing w:line="360" w:lineRule="auto"/>
        <w:ind w:firstLineChars="200" w:firstLine="480"/>
        <w:rPr>
          <w:color w:val="FF0000"/>
          <w:sz w:val="24"/>
          <w:szCs w:val="32"/>
        </w:rPr>
      </w:pPr>
      <w:r>
        <w:rPr>
          <w:rFonts w:asciiTheme="minorEastAsia" w:hAnsiTheme="minorEastAsia" w:cstheme="minorEastAsia" w:hint="eastAsia"/>
          <w:sz w:val="24"/>
          <w:szCs w:val="32"/>
        </w:rPr>
        <w:t>（2）</w:t>
      </w:r>
      <w:r>
        <w:rPr>
          <w:rFonts w:hint="eastAsia"/>
          <w:sz w:val="24"/>
          <w:szCs w:val="32"/>
        </w:rPr>
        <w:t>可</w:t>
      </w:r>
      <w:proofErr w:type="gramStart"/>
      <w:r>
        <w:rPr>
          <w:rFonts w:hint="eastAsia"/>
          <w:sz w:val="24"/>
          <w:szCs w:val="32"/>
        </w:rPr>
        <w:t>研</w:t>
      </w:r>
      <w:proofErr w:type="gramEnd"/>
      <w:r>
        <w:rPr>
          <w:rFonts w:hint="eastAsia"/>
          <w:sz w:val="24"/>
          <w:szCs w:val="32"/>
        </w:rPr>
        <w:t>估算是设计阶段造价控制的依据，投资估算一经确定，</w:t>
      </w:r>
      <w:r w:rsidRPr="0023285B">
        <w:rPr>
          <w:rFonts w:hint="eastAsia"/>
          <w:sz w:val="24"/>
          <w:szCs w:val="32"/>
        </w:rPr>
        <w:t>即成为限额设计的依据</w:t>
      </w:r>
      <w:r w:rsidR="00A7018F" w:rsidRPr="0023285B">
        <w:rPr>
          <w:rFonts w:hint="eastAsia"/>
          <w:sz w:val="24"/>
          <w:szCs w:val="32"/>
        </w:rPr>
        <w:t>，也就是我们常说的</w:t>
      </w:r>
      <w:r w:rsidRPr="0023285B">
        <w:rPr>
          <w:rFonts w:hint="eastAsia"/>
          <w:sz w:val="24"/>
          <w:szCs w:val="32"/>
        </w:rPr>
        <w:t>投资上限</w:t>
      </w:r>
      <w:r w:rsidR="00A7018F" w:rsidRPr="0023285B">
        <w:rPr>
          <w:rFonts w:hint="eastAsia"/>
          <w:sz w:val="24"/>
          <w:szCs w:val="32"/>
        </w:rPr>
        <w:t>。</w:t>
      </w:r>
    </w:p>
    <w:p w:rsidR="0018669D" w:rsidRDefault="0018669D" w:rsidP="0018669D">
      <w:pPr>
        <w:spacing w:line="360" w:lineRule="auto"/>
        <w:rPr>
          <w:color w:val="FF0000"/>
          <w:sz w:val="24"/>
          <w:szCs w:val="32"/>
        </w:rPr>
      </w:pPr>
      <w:r>
        <w:rPr>
          <w:rFonts w:hint="eastAsia"/>
          <w:color w:val="FF0000"/>
          <w:sz w:val="24"/>
          <w:szCs w:val="32"/>
        </w:rPr>
        <w:t>第二章、可</w:t>
      </w:r>
      <w:proofErr w:type="gramStart"/>
      <w:r>
        <w:rPr>
          <w:rFonts w:hint="eastAsia"/>
          <w:color w:val="FF0000"/>
          <w:sz w:val="24"/>
          <w:szCs w:val="32"/>
        </w:rPr>
        <w:t>研</w:t>
      </w:r>
      <w:proofErr w:type="gramEnd"/>
      <w:r>
        <w:rPr>
          <w:rFonts w:hint="eastAsia"/>
          <w:color w:val="FF0000"/>
          <w:sz w:val="24"/>
          <w:szCs w:val="32"/>
        </w:rPr>
        <w:t>估算的深度要求</w:t>
      </w:r>
    </w:p>
    <w:p w:rsidR="00EB0952" w:rsidRPr="0023285B" w:rsidRDefault="00EB0952" w:rsidP="00EB0952">
      <w:pPr>
        <w:rPr>
          <w:rFonts w:asciiTheme="minorEastAsia" w:hAnsiTheme="minorEastAsia" w:cstheme="minorEastAsia"/>
          <w:sz w:val="24"/>
          <w:szCs w:val="32"/>
        </w:rPr>
      </w:pPr>
      <w:r w:rsidRPr="0023285B">
        <w:rPr>
          <w:rFonts w:asciiTheme="minorEastAsia" w:hAnsiTheme="minorEastAsia" w:cstheme="minorEastAsia" w:hint="eastAsia"/>
          <w:sz w:val="24"/>
          <w:szCs w:val="32"/>
          <w:highlight w:val="yellow"/>
        </w:rPr>
        <w:t>可</w:t>
      </w:r>
      <w:proofErr w:type="gramStart"/>
      <w:r w:rsidRPr="0023285B">
        <w:rPr>
          <w:rFonts w:asciiTheme="minorEastAsia" w:hAnsiTheme="minorEastAsia" w:cstheme="minorEastAsia" w:hint="eastAsia"/>
          <w:sz w:val="24"/>
          <w:szCs w:val="32"/>
          <w:highlight w:val="yellow"/>
        </w:rPr>
        <w:t>研</w:t>
      </w:r>
      <w:proofErr w:type="gramEnd"/>
      <w:r w:rsidRPr="0023285B">
        <w:rPr>
          <w:rFonts w:asciiTheme="minorEastAsia" w:hAnsiTheme="minorEastAsia" w:cstheme="minorEastAsia" w:hint="eastAsia"/>
          <w:sz w:val="24"/>
          <w:szCs w:val="32"/>
          <w:highlight w:val="yellow"/>
        </w:rPr>
        <w:t>估算既然是投资上限，那么在做可研估算的时候，一般要考虑估算的深度，这个深度有什么具体的要求呢？</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估算必须符合输变电工程可行性研究报告内容深度的规定，计算准确、合理。</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估算应根据</w:t>
      </w:r>
      <w:proofErr w:type="gramStart"/>
      <w:r>
        <w:rPr>
          <w:rFonts w:asciiTheme="minorEastAsia" w:hAnsiTheme="minorEastAsia" w:cstheme="minorEastAsia" w:hint="eastAsia"/>
          <w:sz w:val="24"/>
          <w:szCs w:val="32"/>
        </w:rPr>
        <w:t>推荐</w:t>
      </w:r>
      <w:proofErr w:type="gramEnd"/>
      <w:r>
        <w:rPr>
          <w:rFonts w:asciiTheme="minorEastAsia" w:hAnsiTheme="minorEastAsia" w:cstheme="minorEastAsia" w:hint="eastAsia"/>
          <w:sz w:val="24"/>
          <w:szCs w:val="32"/>
        </w:rPr>
        <w:t>站址和工程设想的主要工艺系统、主要技术方案及确定的编制原则编制变电站、换流站、通信站、串联补偿站工程的估算。应根据初步选定的路径及主要技术条件，按确定的编制原则编制输电线路（含OPGW光缆）工程的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w:t>
      </w:r>
      <w:proofErr w:type="gramStart"/>
      <w:r>
        <w:rPr>
          <w:rFonts w:asciiTheme="minorEastAsia" w:hAnsiTheme="minorEastAsia" w:cstheme="minorEastAsia" w:hint="eastAsia"/>
          <w:sz w:val="24"/>
          <w:szCs w:val="32"/>
        </w:rPr>
        <w:t>推荐站</w:t>
      </w:r>
      <w:proofErr w:type="gramEnd"/>
      <w:r>
        <w:rPr>
          <w:rFonts w:asciiTheme="minorEastAsia" w:hAnsiTheme="minorEastAsia" w:cstheme="minorEastAsia" w:hint="eastAsia"/>
          <w:sz w:val="24"/>
          <w:szCs w:val="32"/>
        </w:rPr>
        <w:t>址（线路路径）的可研估算作为正式成品出版。可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估算应编制总估算表、各专业汇总估算表、其他费用计算表、工程概况及主要技术经济指标。必要时，正式成品中还应包含不同站址（线路路径）方案的可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对比表。</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输变电工程可行性研究工作的重点是站址外部条件、线路路径及方案比选（如交通运输、水源、送出线路等），不同站址、线路路径的土石方处理方案、地基处理方案、运输方案比选（挖、填土石方，强夯，打桩，</w:t>
      </w:r>
      <w:proofErr w:type="gramStart"/>
      <w:r>
        <w:rPr>
          <w:rFonts w:asciiTheme="minorEastAsia" w:hAnsiTheme="minorEastAsia" w:cstheme="minorEastAsia" w:hint="eastAsia"/>
          <w:sz w:val="24"/>
          <w:szCs w:val="32"/>
        </w:rPr>
        <w:t>振冲等</w:t>
      </w:r>
      <w:proofErr w:type="gramEnd"/>
      <w:r>
        <w:rPr>
          <w:rFonts w:asciiTheme="minorEastAsia" w:hAnsiTheme="minorEastAsia" w:cstheme="minorEastAsia" w:hint="eastAsia"/>
          <w:sz w:val="24"/>
          <w:szCs w:val="32"/>
        </w:rPr>
        <w:t>）。在进行方案比选时，由专业设计人员确定工程量，造价人员编制估算。专业设计人</w:t>
      </w:r>
      <w:r>
        <w:rPr>
          <w:rFonts w:asciiTheme="minorEastAsia" w:hAnsiTheme="minorEastAsia" w:cstheme="minorEastAsia" w:hint="eastAsia"/>
          <w:sz w:val="24"/>
          <w:szCs w:val="32"/>
        </w:rPr>
        <w:lastRenderedPageBreak/>
        <w:t>员应对工程量负责，造价人员有义务参照同等或类似规模项目施工图工程量进行核查，并提出反馈意见。在可行性研究阶段，对不能直接计算而又对投资影响较大的建筑安装工程量（如电缆、桥架等），应参照类似工程图纸资料，并经分析后由专业设计人员确定。</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估算应做到工程内容和费用构成齐全，不漏项，不提高或降低估算标准，计算合理，不少算、不重复计算。</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（6）可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估算应对影响造价变动的因素进行敏感性分析，分析市场价格的变动因素，充分估计物价上涨因素和市场供求情况等对项目造价的影响，确保可研估算的编制质量。</w:t>
      </w:r>
    </w:p>
    <w:p w:rsidR="008C4821" w:rsidRDefault="008C4821" w:rsidP="008C4821">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（7）可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估算精度应能满足控制初步设计概算要求，并尽量减少投资估算的误差。</w:t>
      </w:r>
    </w:p>
    <w:p w:rsidR="000557F0" w:rsidRPr="0018669D" w:rsidRDefault="000557F0" w:rsidP="000557F0">
      <w:pPr>
        <w:spacing w:line="360" w:lineRule="auto"/>
        <w:rPr>
          <w:color w:val="FF0000"/>
          <w:sz w:val="24"/>
          <w:szCs w:val="32"/>
        </w:rPr>
      </w:pPr>
      <w:r w:rsidRPr="0018669D">
        <w:rPr>
          <w:rFonts w:hint="eastAsia"/>
          <w:color w:val="FF0000"/>
          <w:sz w:val="24"/>
          <w:szCs w:val="32"/>
        </w:rPr>
        <w:t>第三章、可</w:t>
      </w:r>
      <w:proofErr w:type="gramStart"/>
      <w:r w:rsidRPr="0018669D">
        <w:rPr>
          <w:rFonts w:hint="eastAsia"/>
          <w:color w:val="FF0000"/>
          <w:sz w:val="24"/>
          <w:szCs w:val="32"/>
        </w:rPr>
        <w:t>研</w:t>
      </w:r>
      <w:proofErr w:type="gramEnd"/>
      <w:r w:rsidRPr="0018669D">
        <w:rPr>
          <w:rFonts w:hint="eastAsia"/>
          <w:color w:val="FF0000"/>
          <w:sz w:val="24"/>
          <w:szCs w:val="32"/>
        </w:rPr>
        <w:t>调整的管理要求</w:t>
      </w:r>
    </w:p>
    <w:p w:rsidR="008C4821" w:rsidRDefault="00E41F75" w:rsidP="008C4821">
      <w:pPr>
        <w:pStyle w:val="2"/>
      </w:pPr>
      <w:r w:rsidRPr="00EB0952">
        <w:rPr>
          <w:rFonts w:hint="eastAsia"/>
          <w:highlight w:val="yellow"/>
        </w:rPr>
        <w:t>可</w:t>
      </w:r>
      <w:proofErr w:type="gramStart"/>
      <w:r w:rsidRPr="00EB0952">
        <w:rPr>
          <w:rFonts w:hint="eastAsia"/>
          <w:highlight w:val="yellow"/>
        </w:rPr>
        <w:t>研</w:t>
      </w:r>
      <w:proofErr w:type="gramEnd"/>
      <w:r w:rsidRPr="00EB0952">
        <w:rPr>
          <w:rFonts w:hint="eastAsia"/>
          <w:highlight w:val="yellow"/>
        </w:rPr>
        <w:t>阶段的投资估算由于各种原因经常会出现需要调整的情况，满足什么条件的工程可研需要履行可研调整程序呢？</w:t>
      </w:r>
    </w:p>
    <w:p w:rsidR="008C4821" w:rsidRDefault="000062EC" w:rsidP="000062EC">
      <w:pPr>
        <w:rPr>
          <w:rFonts w:asciiTheme="minorEastAsia" w:hAnsiTheme="minorEastAsia" w:cstheme="minorEastAsia"/>
          <w:sz w:val="24"/>
        </w:rPr>
      </w:pPr>
      <w:r w:rsidRPr="000062EC">
        <w:rPr>
          <w:rFonts w:asciiTheme="minorEastAsia" w:hAnsiTheme="minorEastAsia" w:cstheme="minorEastAsia" w:hint="eastAsia"/>
          <w:sz w:val="24"/>
        </w:rPr>
        <w:t>第一是</w:t>
      </w:r>
      <w:r w:rsidR="004734A0">
        <w:rPr>
          <w:rFonts w:asciiTheme="minorEastAsia" w:hAnsiTheme="minorEastAsia" w:cstheme="minorEastAsia" w:hint="eastAsia"/>
          <w:sz w:val="24"/>
        </w:rPr>
        <w:t>工程类型</w:t>
      </w:r>
      <w:r w:rsidR="00DF26D3">
        <w:rPr>
          <w:rFonts w:asciiTheme="minorEastAsia" w:hAnsiTheme="minorEastAsia" w:cstheme="minorEastAsia" w:hint="eastAsia"/>
          <w:sz w:val="24"/>
        </w:rPr>
        <w:t>：必须是已获得可</w:t>
      </w:r>
      <w:proofErr w:type="gramStart"/>
      <w:r w:rsidR="00DF26D3">
        <w:rPr>
          <w:rFonts w:asciiTheme="minorEastAsia" w:hAnsiTheme="minorEastAsia" w:cstheme="minorEastAsia" w:hint="eastAsia"/>
          <w:sz w:val="24"/>
        </w:rPr>
        <w:t>研</w:t>
      </w:r>
      <w:proofErr w:type="gramEnd"/>
      <w:r w:rsidR="00DF26D3">
        <w:rPr>
          <w:rFonts w:asciiTheme="minorEastAsia" w:hAnsiTheme="minorEastAsia" w:cstheme="minorEastAsia" w:hint="eastAsia"/>
          <w:sz w:val="24"/>
        </w:rPr>
        <w:t>批复的220、110（66）kV输变电工程。</w:t>
      </w:r>
    </w:p>
    <w:p w:rsidR="00DF26D3" w:rsidRDefault="00DF26D3" w:rsidP="000062EC">
      <w:pPr>
        <w:rPr>
          <w:rFonts w:asciiTheme="minorEastAsia" w:hAnsiTheme="minorEastAsia" w:cstheme="minorEastAsia"/>
          <w:sz w:val="24"/>
        </w:rPr>
      </w:pPr>
      <w:r>
        <w:rPr>
          <w:rFonts w:asciiTheme="minorEastAsia" w:hAnsiTheme="minorEastAsia" w:cstheme="minorEastAsia" w:hint="eastAsia"/>
          <w:sz w:val="24"/>
        </w:rPr>
        <w:t>第二是时限与变化程度：满三年仍未开工、</w:t>
      </w:r>
      <w:r w:rsidR="00552EBB" w:rsidRPr="00552EBB">
        <w:rPr>
          <w:rFonts w:asciiTheme="minorEastAsia" w:hAnsiTheme="minorEastAsia" w:cstheme="minorEastAsia" w:hint="eastAsia"/>
          <w:sz w:val="24"/>
          <w:highlight w:val="yellow"/>
        </w:rPr>
        <w:t>或</w:t>
      </w:r>
      <w:r>
        <w:rPr>
          <w:rFonts w:asciiTheme="minorEastAsia" w:hAnsiTheme="minorEastAsia" w:cstheme="minorEastAsia" w:hint="eastAsia"/>
          <w:sz w:val="24"/>
        </w:rPr>
        <w:t>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技术方案或投资估算发生较大调整的。</w:t>
      </w:r>
    </w:p>
    <w:p w:rsidR="00DF26D3" w:rsidRPr="000062EC" w:rsidRDefault="00DF26D3" w:rsidP="000062EC">
      <w:pPr>
        <w:rPr>
          <w:rFonts w:asciiTheme="minorEastAsia" w:hAnsiTheme="minorEastAsia" w:cstheme="minorEastAsia"/>
          <w:sz w:val="24"/>
        </w:rPr>
      </w:pPr>
      <w:r w:rsidRPr="00552EBB">
        <w:rPr>
          <w:rFonts w:asciiTheme="minorEastAsia" w:hAnsiTheme="minorEastAsia" w:cstheme="minorEastAsia" w:hint="eastAsia"/>
          <w:sz w:val="24"/>
          <w:highlight w:val="yellow"/>
        </w:rPr>
        <w:t>必须满足以上两组条件需履行可</w:t>
      </w:r>
      <w:proofErr w:type="gramStart"/>
      <w:r w:rsidRPr="00552EBB">
        <w:rPr>
          <w:rFonts w:asciiTheme="minorEastAsia" w:hAnsiTheme="minorEastAsia" w:cstheme="minorEastAsia" w:hint="eastAsia"/>
          <w:sz w:val="24"/>
          <w:highlight w:val="yellow"/>
        </w:rPr>
        <w:t>研</w:t>
      </w:r>
      <w:proofErr w:type="gramEnd"/>
      <w:r w:rsidRPr="00552EBB">
        <w:rPr>
          <w:rFonts w:asciiTheme="minorEastAsia" w:hAnsiTheme="minorEastAsia" w:cstheme="minorEastAsia" w:hint="eastAsia"/>
          <w:sz w:val="24"/>
          <w:highlight w:val="yellow"/>
        </w:rPr>
        <w:t>调整程序。</w:t>
      </w:r>
    </w:p>
    <w:p w:rsidR="00552EBB"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对需要可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调整的220、110（66）kV输变电工</w:t>
      </w:r>
      <w:proofErr w:type="gramStart"/>
      <w:r>
        <w:rPr>
          <w:rFonts w:asciiTheme="minorEastAsia" w:hAnsiTheme="minorEastAsia" w:cstheme="minorEastAsia" w:hint="eastAsia"/>
          <w:sz w:val="24"/>
        </w:rPr>
        <w:t>程分</w:t>
      </w:r>
      <w:proofErr w:type="gramEnd"/>
      <w:r>
        <w:rPr>
          <w:rFonts w:asciiTheme="minorEastAsia" w:hAnsiTheme="minorEastAsia" w:cstheme="minorEastAsia" w:hint="eastAsia"/>
          <w:sz w:val="24"/>
        </w:rPr>
        <w:t>为复审和复核两类。</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其中复审项目以国家电网公司文件或省公司文件形式批复，复核项目以国家电网公司</w:t>
      </w:r>
      <w:r w:rsidRPr="00552EBB">
        <w:rPr>
          <w:rFonts w:asciiTheme="minorEastAsia" w:hAnsiTheme="minorEastAsia" w:cstheme="minorEastAsia" w:hint="eastAsia"/>
          <w:color w:val="FF0000"/>
          <w:sz w:val="24"/>
        </w:rPr>
        <w:t>部门</w:t>
      </w:r>
      <w:r>
        <w:rPr>
          <w:rFonts w:asciiTheme="minorEastAsia" w:hAnsiTheme="minorEastAsia" w:cstheme="minorEastAsia" w:hint="eastAsia"/>
          <w:sz w:val="24"/>
        </w:rPr>
        <w:t>文件或省公司</w:t>
      </w:r>
      <w:r w:rsidRPr="00552EBB">
        <w:rPr>
          <w:rFonts w:asciiTheme="minorEastAsia" w:hAnsiTheme="minorEastAsia" w:cstheme="minorEastAsia" w:hint="eastAsia"/>
          <w:color w:val="FF0000"/>
          <w:sz w:val="24"/>
        </w:rPr>
        <w:t>部门</w:t>
      </w:r>
      <w:r>
        <w:rPr>
          <w:rFonts w:asciiTheme="minorEastAsia" w:hAnsiTheme="minorEastAsia" w:cstheme="minorEastAsia" w:hint="eastAsia"/>
          <w:sz w:val="24"/>
        </w:rPr>
        <w:t>文件形式批复。</w:t>
      </w:r>
    </w:p>
    <w:p w:rsidR="00552EBB" w:rsidRPr="00EB0952" w:rsidRDefault="008F63FB" w:rsidP="00552EBB">
      <w:pPr>
        <w:spacing w:line="360" w:lineRule="auto"/>
        <w:ind w:firstLineChars="200" w:firstLine="480"/>
        <w:rPr>
          <w:rFonts w:asciiTheme="minorEastAsia" w:hAnsiTheme="minorEastAsia" w:cstheme="minorEastAsia"/>
          <w:sz w:val="24"/>
          <w:highlight w:val="yellow"/>
        </w:rPr>
      </w:pPr>
      <w:r>
        <w:rPr>
          <w:rFonts w:asciiTheme="minorEastAsia" w:hAnsiTheme="minorEastAsia" w:cstheme="minorEastAsia" w:hint="eastAsia"/>
          <w:sz w:val="24"/>
          <w:highlight w:val="yellow"/>
        </w:rPr>
        <w:lastRenderedPageBreak/>
        <w:t>【互动选择】</w:t>
      </w:r>
      <w:proofErr w:type="gramStart"/>
      <w:r w:rsidR="00552EBB" w:rsidRPr="00EB0952">
        <w:rPr>
          <w:rFonts w:asciiTheme="minorEastAsia" w:hAnsiTheme="minorEastAsia" w:cstheme="minorEastAsia" w:hint="eastAsia"/>
          <w:sz w:val="24"/>
          <w:highlight w:val="yellow"/>
        </w:rPr>
        <w:t>程总体</w:t>
      </w:r>
      <w:proofErr w:type="gramEnd"/>
      <w:r w:rsidR="00552EBB" w:rsidRPr="00EB0952">
        <w:rPr>
          <w:rFonts w:asciiTheme="minorEastAsia" w:hAnsiTheme="minorEastAsia" w:cstheme="minorEastAsia" w:hint="eastAsia"/>
          <w:sz w:val="24"/>
          <w:highlight w:val="yellow"/>
        </w:rPr>
        <w:t>变化的程度不同，也决定了其履行的</w:t>
      </w:r>
      <w:r w:rsidR="00C37DE7" w:rsidRPr="00EB0952">
        <w:rPr>
          <w:rFonts w:asciiTheme="minorEastAsia" w:hAnsiTheme="minorEastAsia" w:cstheme="minorEastAsia" w:hint="eastAsia"/>
          <w:sz w:val="24"/>
          <w:highlight w:val="yellow"/>
        </w:rPr>
        <w:t>程序不同，对以下的工程变化，请按照履行程序的不同进行分类。</w:t>
      </w:r>
    </w:p>
    <w:p w:rsidR="00C37DE7" w:rsidRPr="00EB0952" w:rsidRDefault="00C37DE7" w:rsidP="00552EBB">
      <w:pPr>
        <w:spacing w:line="360" w:lineRule="auto"/>
        <w:ind w:firstLineChars="200" w:firstLine="480"/>
        <w:rPr>
          <w:rFonts w:asciiTheme="minorEastAsia" w:hAnsiTheme="minorEastAsia" w:cstheme="minorEastAsia"/>
          <w:sz w:val="24"/>
          <w:highlight w:val="yellow"/>
        </w:rPr>
      </w:pPr>
      <w:r w:rsidRPr="00EB0952">
        <w:rPr>
          <w:rFonts w:asciiTheme="minorEastAsia" w:hAnsiTheme="minorEastAsia" w:cstheme="minorEastAsia" w:hint="eastAsia"/>
          <w:sz w:val="24"/>
          <w:highlight w:val="yellow"/>
        </w:rPr>
        <w:t>A变压器主变台数发生变化</w:t>
      </w:r>
    </w:p>
    <w:p w:rsidR="00C37DE7" w:rsidRPr="00EB0952" w:rsidRDefault="00C37DE7" w:rsidP="00552EBB">
      <w:pPr>
        <w:spacing w:line="360" w:lineRule="auto"/>
        <w:ind w:firstLineChars="200" w:firstLine="480"/>
        <w:rPr>
          <w:rFonts w:asciiTheme="minorEastAsia" w:hAnsiTheme="minorEastAsia" w:cstheme="minorEastAsia"/>
          <w:sz w:val="24"/>
          <w:highlight w:val="yellow"/>
        </w:rPr>
      </w:pPr>
      <w:r w:rsidRPr="00EB0952">
        <w:rPr>
          <w:rFonts w:asciiTheme="minorEastAsia" w:hAnsiTheme="minorEastAsia" w:cstheme="minorEastAsia" w:hint="eastAsia"/>
          <w:sz w:val="24"/>
          <w:highlight w:val="yellow"/>
        </w:rPr>
        <w:t>B</w:t>
      </w:r>
      <w:r w:rsidR="00D959FC" w:rsidRPr="00EB0952">
        <w:rPr>
          <w:rFonts w:asciiTheme="minorEastAsia" w:hAnsiTheme="minorEastAsia" w:cstheme="minorEastAsia" w:hint="eastAsia"/>
          <w:sz w:val="24"/>
          <w:highlight w:val="yellow"/>
        </w:rPr>
        <w:t>主变容量发生变化</w:t>
      </w:r>
    </w:p>
    <w:p w:rsidR="00D959FC" w:rsidRPr="00EB0952" w:rsidRDefault="00732138" w:rsidP="00552EBB">
      <w:pPr>
        <w:spacing w:line="360" w:lineRule="auto"/>
        <w:ind w:firstLineChars="200" w:firstLine="480"/>
        <w:rPr>
          <w:rFonts w:asciiTheme="minorEastAsia" w:hAnsiTheme="minorEastAsia" w:cstheme="minorEastAsia"/>
          <w:sz w:val="24"/>
          <w:highlight w:val="yellow"/>
        </w:rPr>
      </w:pPr>
      <w:r w:rsidRPr="00EB0952">
        <w:rPr>
          <w:rFonts w:asciiTheme="minorEastAsia" w:hAnsiTheme="minorEastAsia" w:cstheme="minorEastAsia" w:hint="eastAsia"/>
          <w:sz w:val="24"/>
          <w:highlight w:val="yellow"/>
        </w:rPr>
        <w:t>C单项工程超过原可</w:t>
      </w:r>
      <w:proofErr w:type="gramStart"/>
      <w:r w:rsidRPr="00EB0952">
        <w:rPr>
          <w:rFonts w:asciiTheme="minorEastAsia" w:hAnsiTheme="minorEastAsia" w:cstheme="minorEastAsia" w:hint="eastAsia"/>
          <w:sz w:val="24"/>
          <w:highlight w:val="yellow"/>
        </w:rPr>
        <w:t>研</w:t>
      </w:r>
      <w:proofErr w:type="gramEnd"/>
      <w:r w:rsidRPr="00EB0952">
        <w:rPr>
          <w:rFonts w:asciiTheme="minorEastAsia" w:hAnsiTheme="minorEastAsia" w:cstheme="minorEastAsia" w:hint="eastAsia"/>
          <w:sz w:val="24"/>
          <w:highlight w:val="yellow"/>
        </w:rPr>
        <w:t>批复投资2</w:t>
      </w:r>
      <w:r w:rsidRPr="00EB0952">
        <w:rPr>
          <w:rFonts w:asciiTheme="minorEastAsia" w:hAnsiTheme="minorEastAsia" w:cstheme="minorEastAsia"/>
          <w:sz w:val="24"/>
          <w:highlight w:val="yellow"/>
        </w:rPr>
        <w:t>5</w:t>
      </w:r>
      <w:r w:rsidRPr="00EB0952">
        <w:rPr>
          <w:rFonts w:asciiTheme="minorEastAsia" w:hAnsiTheme="minorEastAsia" w:cstheme="minorEastAsia" w:hint="eastAsia"/>
          <w:sz w:val="24"/>
          <w:highlight w:val="yellow"/>
        </w:rPr>
        <w:t>%</w:t>
      </w:r>
    </w:p>
    <w:p w:rsidR="00732138" w:rsidRPr="00EB0952" w:rsidRDefault="00732138" w:rsidP="00732138">
      <w:pPr>
        <w:spacing w:line="360" w:lineRule="auto"/>
        <w:ind w:firstLineChars="200" w:firstLine="480"/>
        <w:rPr>
          <w:rFonts w:asciiTheme="minorEastAsia" w:hAnsiTheme="minorEastAsia" w:cstheme="minorEastAsia"/>
          <w:sz w:val="24"/>
          <w:highlight w:val="yellow"/>
        </w:rPr>
      </w:pPr>
      <w:r w:rsidRPr="00EB0952">
        <w:rPr>
          <w:rFonts w:asciiTheme="minorEastAsia" w:hAnsiTheme="minorEastAsia" w:cstheme="minorEastAsia" w:hint="eastAsia"/>
          <w:sz w:val="24"/>
          <w:highlight w:val="yellow"/>
        </w:rPr>
        <w:t>D由站</w:t>
      </w:r>
      <w:proofErr w:type="gramStart"/>
      <w:r w:rsidRPr="00EB0952">
        <w:rPr>
          <w:rFonts w:asciiTheme="minorEastAsia" w:hAnsiTheme="minorEastAsia" w:cstheme="minorEastAsia" w:hint="eastAsia"/>
          <w:sz w:val="24"/>
          <w:highlight w:val="yellow"/>
        </w:rPr>
        <w:t>址变化</w:t>
      </w:r>
      <w:proofErr w:type="gramEnd"/>
      <w:r w:rsidRPr="00EB0952">
        <w:rPr>
          <w:rFonts w:asciiTheme="minorEastAsia" w:hAnsiTheme="minorEastAsia" w:cstheme="minorEastAsia" w:hint="eastAsia"/>
          <w:sz w:val="24"/>
          <w:highlight w:val="yellow"/>
        </w:rPr>
        <w:t>引起的建筑工程费用增加2</w:t>
      </w:r>
      <w:r w:rsidRPr="00EB0952">
        <w:rPr>
          <w:rFonts w:asciiTheme="minorEastAsia" w:hAnsiTheme="minorEastAsia" w:cstheme="minorEastAsia"/>
          <w:sz w:val="24"/>
          <w:highlight w:val="yellow"/>
        </w:rPr>
        <w:t>5</w:t>
      </w:r>
      <w:r w:rsidRPr="00EB0952">
        <w:rPr>
          <w:rFonts w:asciiTheme="minorEastAsia" w:hAnsiTheme="minorEastAsia" w:cstheme="minorEastAsia" w:hint="eastAsia"/>
          <w:sz w:val="24"/>
          <w:highlight w:val="yellow"/>
        </w:rPr>
        <w:t>%</w:t>
      </w:r>
    </w:p>
    <w:p w:rsidR="00732138" w:rsidRPr="00C37DE7" w:rsidRDefault="00732138" w:rsidP="00732138">
      <w:pPr>
        <w:spacing w:line="360" w:lineRule="auto"/>
        <w:ind w:firstLineChars="200" w:firstLine="480"/>
        <w:rPr>
          <w:rFonts w:asciiTheme="minorEastAsia" w:hAnsiTheme="minorEastAsia" w:cstheme="minorEastAsia"/>
          <w:sz w:val="24"/>
        </w:rPr>
      </w:pPr>
      <w:r w:rsidRPr="00EB0952">
        <w:rPr>
          <w:rFonts w:asciiTheme="minorEastAsia" w:hAnsiTheme="minorEastAsia" w:cstheme="minorEastAsia" w:hint="eastAsia"/>
          <w:sz w:val="24"/>
          <w:highlight w:val="yellow"/>
        </w:rPr>
        <w:t>A和C需要复审、而B和D需要复核即可</w:t>
      </w:r>
      <w:r w:rsidR="00EB0952">
        <w:rPr>
          <w:rFonts w:asciiTheme="minorEastAsia" w:hAnsiTheme="minorEastAsia" w:cstheme="minorEastAsia" w:hint="eastAsia"/>
          <w:sz w:val="24"/>
          <w:highlight w:val="yellow"/>
        </w:rPr>
        <w:t>。</w:t>
      </w:r>
      <w:bookmarkStart w:id="3" w:name="_GoBack"/>
      <w:bookmarkEnd w:id="3"/>
      <w:r>
        <w:rPr>
          <w:rFonts w:asciiTheme="minorEastAsia" w:hAnsiTheme="minorEastAsia" w:cstheme="minorEastAsia" w:hint="eastAsia"/>
          <w:sz w:val="24"/>
        </w:rPr>
        <w:t>具体要求：</w:t>
      </w:r>
    </w:p>
    <w:p w:rsidR="008C4821" w:rsidRDefault="00732138"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需要进行</w:t>
      </w:r>
      <w:proofErr w:type="gramStart"/>
      <w:r w:rsidR="008C4821">
        <w:rPr>
          <w:rFonts w:asciiTheme="minorEastAsia" w:hAnsiTheme="minorEastAsia" w:cstheme="minorEastAsia" w:hint="eastAsia"/>
          <w:sz w:val="24"/>
        </w:rPr>
        <w:t>复审类输变</w:t>
      </w:r>
      <w:proofErr w:type="gramEnd"/>
      <w:r w:rsidR="008C4821">
        <w:rPr>
          <w:rFonts w:asciiTheme="minorEastAsia" w:hAnsiTheme="minorEastAsia" w:cstheme="minorEastAsia" w:hint="eastAsia"/>
          <w:sz w:val="24"/>
        </w:rPr>
        <w:t>电工程主要包括：</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已获批复满三年仍未开工的输变电工程。</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2）单项输变电工程投资超过原可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批复投资的20％及以上的项目。</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3）单项输变电工程投资未超过原可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批复投资的20％，但建设方案和建</w:t>
      </w:r>
    </w:p>
    <w:p w:rsidR="008C4821" w:rsidRDefault="008C4821" w:rsidP="008C4821">
      <w:pPr>
        <w:spacing w:line="360" w:lineRule="auto"/>
        <w:ind w:firstLineChars="200" w:firstLine="480"/>
        <w:rPr>
          <w:rFonts w:asciiTheme="minorEastAsia" w:hAnsiTheme="minorEastAsia" w:cstheme="minorEastAsia"/>
          <w:sz w:val="24"/>
        </w:rPr>
      </w:pPr>
      <w:proofErr w:type="gramStart"/>
      <w:r>
        <w:rPr>
          <w:rFonts w:asciiTheme="minorEastAsia" w:hAnsiTheme="minorEastAsia" w:cstheme="minorEastAsia" w:hint="eastAsia"/>
          <w:sz w:val="24"/>
        </w:rPr>
        <w:t>设规模</w:t>
      </w:r>
      <w:proofErr w:type="gramEnd"/>
      <w:r>
        <w:rPr>
          <w:rFonts w:asciiTheme="minorEastAsia" w:hAnsiTheme="minorEastAsia" w:cstheme="minorEastAsia" w:hint="eastAsia"/>
          <w:sz w:val="24"/>
        </w:rPr>
        <w:t>发生以下重大变化：</w:t>
      </w:r>
    </w:p>
    <w:p w:rsidR="008C4821" w:rsidRDefault="008C4821" w:rsidP="008C4821">
      <w:pPr>
        <w:numPr>
          <w:ilvl w:val="0"/>
          <w:numId w:val="3"/>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输变电工程接入系统方案本期高压侧出线回路数或接入点发生变化。</w:t>
      </w:r>
    </w:p>
    <w:p w:rsidR="008C4821" w:rsidRDefault="008C4821" w:rsidP="008C4821">
      <w:pPr>
        <w:numPr>
          <w:ilvl w:val="0"/>
          <w:numId w:val="3"/>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变电站本期或远期主变压器台数发生变化。</w:t>
      </w:r>
    </w:p>
    <w:p w:rsidR="008C4821" w:rsidRDefault="008C4821" w:rsidP="008C4821">
      <w:pPr>
        <w:numPr>
          <w:ilvl w:val="0"/>
          <w:numId w:val="3"/>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变电部分主要技术方案发生重大变化，如常规变电站改为地下（半地下）变电站、本期电气主接线发生较大变化等。</w:t>
      </w:r>
    </w:p>
    <w:p w:rsidR="008C4821" w:rsidRDefault="008C4821" w:rsidP="008C4821">
      <w:pPr>
        <w:numPr>
          <w:ilvl w:val="0"/>
          <w:numId w:val="3"/>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线路主要技术方案发生重大变化，如架空线路改为电缆敷设等。</w:t>
      </w:r>
    </w:p>
    <w:p w:rsidR="008C4821" w:rsidRDefault="008C4821" w:rsidP="008C4821">
      <w:pPr>
        <w:numPr>
          <w:ilvl w:val="0"/>
          <w:numId w:val="3"/>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总部单独明确需要复审的输变电工程。</w:t>
      </w:r>
    </w:p>
    <w:p w:rsidR="008C4821" w:rsidRDefault="008C4821" w:rsidP="008C4821"/>
    <w:p w:rsidR="008C4821" w:rsidRDefault="0048742B"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需要进行</w:t>
      </w:r>
      <w:proofErr w:type="gramStart"/>
      <w:r w:rsidR="008C4821">
        <w:rPr>
          <w:rFonts w:asciiTheme="minorEastAsia" w:hAnsiTheme="minorEastAsia" w:cstheme="minorEastAsia" w:hint="eastAsia"/>
          <w:sz w:val="24"/>
        </w:rPr>
        <w:t>复核类输变</w:t>
      </w:r>
      <w:proofErr w:type="gramEnd"/>
      <w:r w:rsidR="008C4821">
        <w:rPr>
          <w:rFonts w:asciiTheme="minorEastAsia" w:hAnsiTheme="minorEastAsia" w:cstheme="minorEastAsia" w:hint="eastAsia"/>
          <w:sz w:val="24"/>
        </w:rPr>
        <w:t>电工程主要包括</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1）单项输变电工程投资增加额在原可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批复的10％（含10％）～20％之间且不需要进行复审的项目。</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2）单项输变电工程投资不超过原可</w:t>
      </w:r>
      <w:proofErr w:type="gramStart"/>
      <w:r>
        <w:rPr>
          <w:rFonts w:asciiTheme="minorEastAsia" w:hAnsiTheme="minorEastAsia" w:cstheme="minorEastAsia" w:hint="eastAsia"/>
          <w:sz w:val="24"/>
        </w:rPr>
        <w:t>研</w:t>
      </w:r>
      <w:proofErr w:type="gramEnd"/>
      <w:r>
        <w:rPr>
          <w:rFonts w:asciiTheme="minorEastAsia" w:hAnsiTheme="minorEastAsia" w:cstheme="minorEastAsia" w:hint="eastAsia"/>
          <w:sz w:val="24"/>
        </w:rPr>
        <w:t>批复投资的10％，但建设方案和建设</w:t>
      </w:r>
      <w:r>
        <w:rPr>
          <w:rFonts w:asciiTheme="minorEastAsia" w:hAnsiTheme="minorEastAsia" w:cstheme="minorEastAsia" w:hint="eastAsia"/>
          <w:sz w:val="24"/>
        </w:rPr>
        <w:lastRenderedPageBreak/>
        <w:t>规模发生以下较大变化：</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a. 变电站本期主变压器容量发生变化;</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b. 220kV变电站的110（66）kV出线回路数本期发生变化;</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c. 线路导线截面发生变化或线路由单回路架设改为同塔双回（包括同塔双回单侧挂线）架设;</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d．变电站无功补偿设备类型由常规无功补偿装置改为部分或全部动态无功补偿装置，新增常规无功补偿装置或动态无功补偿装置;</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e．输变电工程接入系统一次方案不变，变电部分主要技术方案发生较大变化，如户外变电站改为户内变电站、站</w:t>
      </w:r>
      <w:proofErr w:type="gramStart"/>
      <w:r>
        <w:rPr>
          <w:rFonts w:asciiTheme="minorEastAsia" w:hAnsiTheme="minorEastAsia" w:cstheme="minorEastAsia" w:hint="eastAsia"/>
          <w:sz w:val="24"/>
        </w:rPr>
        <w:t>址位置</w:t>
      </w:r>
      <w:proofErr w:type="gramEnd"/>
      <w:r>
        <w:rPr>
          <w:rFonts w:asciiTheme="minorEastAsia" w:hAnsiTheme="minorEastAsia" w:cstheme="minorEastAsia" w:hint="eastAsia"/>
          <w:sz w:val="24"/>
        </w:rPr>
        <w:t>变化引起建筑工程费增加20%及以上等；</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f. 输变电工程接入系统一次方案不变，线路部分主要技术方案发生较大变化，如路径长度增加20%以上、常规导线改为新型增容导线等；</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g. 总部单独明确需要进行复核的输变电工程。</w:t>
      </w:r>
    </w:p>
    <w:p w:rsidR="008C4821" w:rsidRDefault="008C4821" w:rsidP="008C482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（3）35kV及以下输变电工程可研调整管理由省公司参照执行。</w:t>
      </w:r>
    </w:p>
    <w:p w:rsidR="008C4821" w:rsidRDefault="008C4821" w:rsidP="008C4821"/>
    <w:p w:rsidR="008C4821" w:rsidRDefault="008C4821" w:rsidP="008C4821"/>
    <w:p w:rsidR="008C4821" w:rsidRPr="0018669D" w:rsidRDefault="0018669D" w:rsidP="0018669D">
      <w:pPr>
        <w:spacing w:line="360" w:lineRule="auto"/>
        <w:rPr>
          <w:color w:val="FF0000"/>
          <w:sz w:val="24"/>
          <w:szCs w:val="32"/>
        </w:rPr>
      </w:pPr>
      <w:r w:rsidRPr="0018669D">
        <w:rPr>
          <w:rFonts w:hint="eastAsia"/>
          <w:color w:val="FF0000"/>
          <w:sz w:val="24"/>
          <w:szCs w:val="32"/>
        </w:rPr>
        <w:t>第四章</w:t>
      </w:r>
      <w:r w:rsidR="000557F0" w:rsidRPr="0018669D">
        <w:rPr>
          <w:rFonts w:hint="eastAsia"/>
          <w:color w:val="FF0000"/>
          <w:sz w:val="24"/>
          <w:szCs w:val="32"/>
        </w:rPr>
        <w:t>、可</w:t>
      </w:r>
      <w:proofErr w:type="gramStart"/>
      <w:r w:rsidR="000557F0" w:rsidRPr="0018669D">
        <w:rPr>
          <w:rFonts w:hint="eastAsia"/>
          <w:color w:val="FF0000"/>
          <w:sz w:val="24"/>
          <w:szCs w:val="32"/>
        </w:rPr>
        <w:t>研</w:t>
      </w:r>
      <w:proofErr w:type="gramEnd"/>
      <w:r w:rsidR="000557F0" w:rsidRPr="0018669D">
        <w:rPr>
          <w:rFonts w:hint="eastAsia"/>
          <w:color w:val="FF0000"/>
          <w:sz w:val="24"/>
          <w:szCs w:val="32"/>
        </w:rPr>
        <w:t>到初设的移交管理</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为加强输变电工程建设全过程标准化管理，梳理工程可行性研究与初步设计阶段衔接工作流程，明确工程建设不同阶段各参建单位、部门的工作职责，减少工程建设过程中因前期条件变化造成的影响，保证电网建设计划执行的准确性，</w:t>
      </w:r>
      <w:proofErr w:type="gramStart"/>
      <w:r w:rsidR="009814FE">
        <w:rPr>
          <w:rFonts w:ascii="华文仿宋" w:eastAsia="华文仿宋" w:hAnsi="华文仿宋" w:hint="eastAsia"/>
          <w:sz w:val="28"/>
          <w:szCs w:val="32"/>
        </w:rPr>
        <w:t>国网河北公司</w:t>
      </w:r>
      <w:proofErr w:type="gramEnd"/>
      <w:r>
        <w:rPr>
          <w:rFonts w:ascii="华文仿宋" w:eastAsia="华文仿宋" w:hAnsi="华文仿宋"/>
          <w:sz w:val="28"/>
          <w:szCs w:val="32"/>
        </w:rPr>
        <w:t>根据国家电网公司有关可行性研究、初步设计深度的有关规定，并结合工程建</w:t>
      </w:r>
      <w:r>
        <w:rPr>
          <w:rFonts w:ascii="华文仿宋" w:eastAsia="华文仿宋" w:hAnsi="华文仿宋"/>
          <w:sz w:val="28"/>
          <w:szCs w:val="32"/>
        </w:rPr>
        <w:lastRenderedPageBreak/>
        <w:t>设中的实际情况，制定了“输变电工程可研向初设移交条件清单”对工程可行性研究与初步设计阶段界面衔接工作提出</w:t>
      </w:r>
      <w:r w:rsidR="00CF5DC7">
        <w:rPr>
          <w:rFonts w:ascii="华文仿宋" w:eastAsia="华文仿宋" w:hAnsi="华文仿宋" w:hint="eastAsia"/>
          <w:sz w:val="28"/>
          <w:szCs w:val="32"/>
        </w:rPr>
        <w:t>具体要求。</w:t>
      </w:r>
    </w:p>
    <w:p w:rsidR="008C4821" w:rsidRDefault="008C4821" w:rsidP="008C4821">
      <w:pPr>
        <w:pStyle w:val="a3"/>
        <w:spacing w:line="360" w:lineRule="auto"/>
        <w:ind w:firstLineChars="200" w:firstLine="560"/>
        <w:rPr>
          <w:rFonts w:ascii="华文仿宋" w:eastAsia="华文仿宋" w:hAnsi="华文仿宋"/>
          <w:sz w:val="22"/>
        </w:rPr>
      </w:pPr>
      <w:bookmarkStart w:id="4" w:name="_Toc7667_WPSOffice_Level2"/>
      <w:r>
        <w:rPr>
          <w:rFonts w:ascii="华文仿宋" w:eastAsia="华文仿宋" w:hAnsi="华文仿宋"/>
          <w:sz w:val="28"/>
          <w:szCs w:val="32"/>
        </w:rPr>
        <w:t>一、 职责分工</w:t>
      </w:r>
      <w:bookmarkEnd w:id="4"/>
      <w:r>
        <w:rPr>
          <w:rFonts w:ascii="华文仿宋" w:eastAsia="华文仿宋" w:hAnsi="华文仿宋"/>
          <w:sz w:val="28"/>
          <w:szCs w:val="32"/>
        </w:rPr>
        <w:t xml:space="preserve"> </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工程建设管理单位的发展策划部门是电网项目可</w:t>
      </w:r>
      <w:proofErr w:type="gramStart"/>
      <w:r>
        <w:rPr>
          <w:rFonts w:ascii="华文仿宋" w:eastAsia="华文仿宋" w:hAnsi="华文仿宋"/>
          <w:sz w:val="28"/>
          <w:szCs w:val="32"/>
        </w:rPr>
        <w:t>研</w:t>
      </w:r>
      <w:proofErr w:type="gramEnd"/>
      <w:r>
        <w:rPr>
          <w:rFonts w:ascii="华文仿宋" w:eastAsia="华文仿宋" w:hAnsi="华文仿宋"/>
          <w:sz w:val="28"/>
          <w:szCs w:val="32"/>
        </w:rPr>
        <w:t>归口管理部门，负责输变电工程的可行性研究阶段管理工作，负责按照“清单”中所列的移交内容将相关文件移交给工程建设管理单位的建设部门。</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 xml:space="preserve">工程建设管理单位的建设部门是电网项目初步设计归口管理部门，负责输变电工程的初步设计阶段管理工作，负责接收、核实移交的文件。 </w:t>
      </w:r>
    </w:p>
    <w:p w:rsidR="008C4821" w:rsidRDefault="008C4821" w:rsidP="008C4821">
      <w:pPr>
        <w:pStyle w:val="a3"/>
        <w:spacing w:line="360" w:lineRule="auto"/>
        <w:ind w:firstLineChars="200" w:firstLine="560"/>
        <w:rPr>
          <w:rFonts w:ascii="华文仿宋" w:eastAsia="华文仿宋" w:hAnsi="华文仿宋"/>
          <w:sz w:val="22"/>
        </w:rPr>
      </w:pPr>
      <w:bookmarkStart w:id="5" w:name="_Toc28604_WPSOffice_Level2"/>
      <w:r>
        <w:rPr>
          <w:rFonts w:ascii="华文仿宋" w:eastAsia="华文仿宋" w:hAnsi="华文仿宋"/>
          <w:sz w:val="28"/>
          <w:szCs w:val="32"/>
        </w:rPr>
        <w:t>二、 衔接工作流程</w:t>
      </w:r>
      <w:bookmarkEnd w:id="5"/>
      <w:r>
        <w:rPr>
          <w:rFonts w:ascii="华文仿宋" w:eastAsia="华文仿宋" w:hAnsi="华文仿宋"/>
          <w:sz w:val="28"/>
          <w:szCs w:val="32"/>
        </w:rPr>
        <w:t xml:space="preserve"> </w:t>
      </w:r>
    </w:p>
    <w:p w:rsidR="008C4821" w:rsidRDefault="008C4821" w:rsidP="008C4821">
      <w:pPr>
        <w:pStyle w:val="a3"/>
        <w:spacing w:line="360" w:lineRule="auto"/>
        <w:ind w:firstLineChars="200" w:firstLine="560"/>
        <w:rPr>
          <w:rFonts w:ascii="华文仿宋" w:eastAsia="华文仿宋" w:hAnsi="华文仿宋"/>
          <w:sz w:val="28"/>
          <w:szCs w:val="32"/>
        </w:rPr>
      </w:pPr>
      <w:r>
        <w:rPr>
          <w:rFonts w:ascii="华文仿宋" w:eastAsia="华文仿宋" w:hAnsi="华文仿宋"/>
          <w:sz w:val="28"/>
          <w:szCs w:val="32"/>
        </w:rPr>
        <w:t xml:space="preserve">移交工作应在初步设计评审会议 7 </w:t>
      </w:r>
      <w:proofErr w:type="gramStart"/>
      <w:r>
        <w:rPr>
          <w:rFonts w:ascii="华文仿宋" w:eastAsia="华文仿宋" w:hAnsi="华文仿宋"/>
          <w:sz w:val="28"/>
          <w:szCs w:val="32"/>
        </w:rPr>
        <w:t>个</w:t>
      </w:r>
      <w:proofErr w:type="gramEnd"/>
      <w:r>
        <w:rPr>
          <w:rFonts w:ascii="华文仿宋" w:eastAsia="华文仿宋" w:hAnsi="华文仿宋"/>
          <w:sz w:val="28"/>
          <w:szCs w:val="32"/>
        </w:rPr>
        <w:t>工作日前完成，工程建设管理单位的发展策划部门按“清单”中所列的移交内容与建设部门进行移交，建设部门负责对移交内容进行确认核实。核实无误后，建设部门负责将签字齐全的“清单”送达评审单位及有关部门。</w:t>
      </w:r>
    </w:p>
    <w:p w:rsidR="00501657" w:rsidRDefault="00501657" w:rsidP="00501657">
      <w:pPr>
        <w:pStyle w:val="a3"/>
        <w:spacing w:line="360" w:lineRule="auto"/>
        <w:rPr>
          <w:rFonts w:ascii="华文仿宋" w:eastAsia="华文仿宋" w:hAnsi="华文仿宋"/>
          <w:sz w:val="22"/>
        </w:rPr>
      </w:pPr>
      <w:r w:rsidRPr="00501657">
        <w:rPr>
          <w:rFonts w:ascii="华文仿宋" w:eastAsia="华文仿宋" w:hAnsi="华文仿宋" w:hint="eastAsia"/>
          <w:sz w:val="22"/>
          <w:highlight w:val="yellow"/>
        </w:rPr>
        <w:t>（展示清单图片）</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 xml:space="preserve">“清单” 应同初步设计文件一并在初步设计评审（或预审）会议计划时间的 7 </w:t>
      </w:r>
      <w:proofErr w:type="gramStart"/>
      <w:r>
        <w:rPr>
          <w:rFonts w:ascii="华文仿宋" w:eastAsia="华文仿宋" w:hAnsi="华文仿宋"/>
          <w:sz w:val="28"/>
          <w:szCs w:val="32"/>
        </w:rPr>
        <w:t>个</w:t>
      </w:r>
      <w:proofErr w:type="gramEnd"/>
      <w:r>
        <w:rPr>
          <w:rFonts w:ascii="华文仿宋" w:eastAsia="华文仿宋" w:hAnsi="华文仿宋"/>
          <w:sz w:val="28"/>
          <w:szCs w:val="32"/>
        </w:rPr>
        <w:t>工作日前送达评审单位及有关部门，评审单位对工程初步设计文件、移交“清单”内容进行初步审核，确认是否具</w:t>
      </w:r>
      <w:r>
        <w:rPr>
          <w:rFonts w:ascii="华文仿宋" w:eastAsia="华文仿宋" w:hAnsi="华文仿宋"/>
          <w:sz w:val="28"/>
          <w:szCs w:val="32"/>
        </w:rPr>
        <w:lastRenderedPageBreak/>
        <w:t xml:space="preserve">备评审条件。如不能满足要求需要推迟召开评审会议的，应于评审会议计划时间 2 </w:t>
      </w:r>
      <w:proofErr w:type="gramStart"/>
      <w:r>
        <w:rPr>
          <w:rFonts w:ascii="华文仿宋" w:eastAsia="华文仿宋" w:hAnsi="华文仿宋"/>
          <w:sz w:val="28"/>
          <w:szCs w:val="32"/>
        </w:rPr>
        <w:t>个</w:t>
      </w:r>
      <w:proofErr w:type="gramEnd"/>
      <w:r>
        <w:rPr>
          <w:rFonts w:ascii="华文仿宋" w:eastAsia="华文仿宋" w:hAnsi="华文仿宋"/>
          <w:sz w:val="28"/>
          <w:szCs w:val="32"/>
        </w:rPr>
        <w:t xml:space="preserve">工作日前通知项目法人单位和初设批复单位。 </w:t>
      </w:r>
    </w:p>
    <w:p w:rsidR="008C4821" w:rsidRDefault="008C4821" w:rsidP="008C4821">
      <w:pPr>
        <w:pStyle w:val="a3"/>
        <w:spacing w:line="360" w:lineRule="auto"/>
        <w:ind w:firstLineChars="200" w:firstLine="560"/>
        <w:rPr>
          <w:rFonts w:ascii="华文仿宋" w:eastAsia="华文仿宋" w:hAnsi="华文仿宋"/>
          <w:sz w:val="22"/>
        </w:rPr>
      </w:pPr>
      <w:bookmarkStart w:id="6" w:name="_Toc24453_WPSOffice_Level2"/>
      <w:r>
        <w:rPr>
          <w:rFonts w:ascii="华文仿宋" w:eastAsia="华文仿宋" w:hAnsi="华文仿宋"/>
          <w:sz w:val="28"/>
          <w:szCs w:val="32"/>
        </w:rPr>
        <w:t>三、 衔接工作内容</w:t>
      </w:r>
      <w:bookmarkEnd w:id="6"/>
      <w:r>
        <w:rPr>
          <w:rFonts w:ascii="华文仿宋" w:eastAsia="华文仿宋" w:hAnsi="华文仿宋"/>
          <w:sz w:val="28"/>
          <w:szCs w:val="32"/>
        </w:rPr>
        <w:t xml:space="preserve"> </w:t>
      </w:r>
    </w:p>
    <w:p w:rsidR="008C4821" w:rsidRDefault="008C4821" w:rsidP="008C4821">
      <w:pPr>
        <w:pStyle w:val="a3"/>
        <w:spacing w:line="360" w:lineRule="auto"/>
        <w:ind w:left="105" w:firstLineChars="200" w:firstLine="560"/>
        <w:rPr>
          <w:rFonts w:ascii="华文仿宋" w:eastAsia="华文仿宋" w:hAnsi="华文仿宋"/>
          <w:sz w:val="22"/>
        </w:rPr>
      </w:pPr>
      <w:r>
        <w:rPr>
          <w:rFonts w:ascii="华文仿宋" w:eastAsia="华文仿宋" w:hAnsi="华文仿宋"/>
          <w:sz w:val="28"/>
          <w:szCs w:val="32"/>
        </w:rPr>
        <w:t xml:space="preserve">“清单” 所列移交内容包含以下部分： </w:t>
      </w:r>
    </w:p>
    <w:p w:rsidR="008C4821" w:rsidRDefault="008C4821" w:rsidP="008C4821">
      <w:pPr>
        <w:pStyle w:val="a3"/>
        <w:spacing w:line="360" w:lineRule="auto"/>
        <w:ind w:leftChars="200" w:left="420"/>
        <w:rPr>
          <w:rFonts w:ascii="华文仿宋" w:eastAsia="华文仿宋" w:hAnsi="华文仿宋"/>
          <w:sz w:val="28"/>
          <w:szCs w:val="32"/>
        </w:rPr>
      </w:pPr>
      <w:bookmarkStart w:id="7" w:name="_Toc13485_WPSOffice_Level3"/>
      <w:r>
        <w:rPr>
          <w:rFonts w:ascii="华文仿宋" w:eastAsia="华文仿宋" w:hAnsi="华文仿宋"/>
          <w:sz w:val="28"/>
          <w:szCs w:val="32"/>
        </w:rPr>
        <w:t>（一） 项目核准文件</w:t>
      </w:r>
      <w:r>
        <w:rPr>
          <w:rFonts w:ascii="华文仿宋" w:eastAsia="华文仿宋" w:hAnsi="华文仿宋"/>
          <w:sz w:val="28"/>
          <w:szCs w:val="32"/>
        </w:rPr>
        <w:br/>
        <w:t>（二） 可行性研究批复文件</w:t>
      </w:r>
      <w:bookmarkEnd w:id="7"/>
      <w:r>
        <w:rPr>
          <w:rFonts w:ascii="华文仿宋" w:eastAsia="华文仿宋" w:hAnsi="华文仿宋"/>
          <w:sz w:val="28"/>
          <w:szCs w:val="32"/>
        </w:rPr>
        <w:t xml:space="preserve"> </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对初步设计规模和设计方案较可行性研究发生重大变化，或初步设计</w:t>
      </w:r>
      <w:proofErr w:type="gramStart"/>
      <w:r>
        <w:rPr>
          <w:rFonts w:ascii="华文仿宋" w:eastAsia="华文仿宋" w:hAnsi="华文仿宋"/>
          <w:sz w:val="28"/>
          <w:szCs w:val="32"/>
        </w:rPr>
        <w:t>概算超</w:t>
      </w:r>
      <w:proofErr w:type="gramEnd"/>
      <w:r>
        <w:rPr>
          <w:rFonts w:ascii="华文仿宋" w:eastAsia="华文仿宋" w:hAnsi="华文仿宋"/>
          <w:sz w:val="28"/>
          <w:szCs w:val="32"/>
        </w:rPr>
        <w:t xml:space="preserve">投资估算的工程，项目 法人单位需征得可研批复单位（或可研管理部门）同意，并出具正式的变更意见作为初步设计批复的依据。 </w:t>
      </w:r>
    </w:p>
    <w:p w:rsidR="008C4821" w:rsidRDefault="008C4821" w:rsidP="008C4821">
      <w:pPr>
        <w:pStyle w:val="a3"/>
        <w:spacing w:line="360" w:lineRule="auto"/>
        <w:ind w:firstLineChars="200" w:firstLine="560"/>
        <w:rPr>
          <w:rFonts w:ascii="华文仿宋" w:eastAsia="华文仿宋" w:hAnsi="华文仿宋"/>
          <w:sz w:val="28"/>
          <w:szCs w:val="32"/>
        </w:rPr>
      </w:pPr>
      <w:r>
        <w:rPr>
          <w:rFonts w:ascii="华文仿宋" w:eastAsia="华文仿宋" w:hAnsi="华文仿宋"/>
          <w:sz w:val="28"/>
          <w:szCs w:val="32"/>
        </w:rPr>
        <w:t xml:space="preserve">（三） 相关协议 </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包括变电站选址意见书、站址协议、重要交叉跨越协议（高速公路、铁路等），需取得乡县级以上的规划、土地协议、跨越林地等的协议证明。视工程具体情况落实地质、地震、矿产、文物、电信、军事、民用航空、航道、公路、石油天然气、草原行政、林业行政、风景名胜区、自然保护区、河道、水利等主管部门对工程建设的意见及供水协议。相关协议有效期两年，超过有效期时应重新办理。</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lastRenderedPageBreak/>
        <w:t>因变电站</w:t>
      </w:r>
      <w:proofErr w:type="gramStart"/>
      <w:r>
        <w:rPr>
          <w:rFonts w:ascii="华文仿宋" w:eastAsia="华文仿宋" w:hAnsi="华文仿宋"/>
          <w:sz w:val="28"/>
          <w:szCs w:val="32"/>
        </w:rPr>
        <w:t>址</w:t>
      </w:r>
      <w:proofErr w:type="gramEnd"/>
      <w:r>
        <w:rPr>
          <w:rFonts w:ascii="华文仿宋" w:eastAsia="华文仿宋" w:hAnsi="华文仿宋"/>
          <w:sz w:val="28"/>
          <w:szCs w:val="32"/>
        </w:rPr>
        <w:t xml:space="preserve">发生变化，线路路径发生重大变更时，应重新办理协议，并征得原可研批复单位（或可研管理部门） 同意。 </w:t>
      </w:r>
    </w:p>
    <w:p w:rsidR="008C4821" w:rsidRDefault="008C4821" w:rsidP="008C4821">
      <w:pPr>
        <w:pStyle w:val="a3"/>
        <w:spacing w:line="360" w:lineRule="auto"/>
        <w:ind w:firstLineChars="200" w:firstLine="560"/>
        <w:rPr>
          <w:rFonts w:ascii="华文仿宋" w:eastAsia="华文仿宋" w:hAnsi="华文仿宋"/>
          <w:sz w:val="28"/>
          <w:szCs w:val="32"/>
        </w:rPr>
      </w:pPr>
      <w:r>
        <w:rPr>
          <w:rFonts w:ascii="华文仿宋" w:eastAsia="华文仿宋" w:hAnsi="华文仿宋"/>
          <w:sz w:val="28"/>
          <w:szCs w:val="32"/>
        </w:rPr>
        <w:t>（四） 有关专业过渡方案</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根据工程建设要求，在可</w:t>
      </w:r>
      <w:proofErr w:type="gramStart"/>
      <w:r>
        <w:rPr>
          <w:rFonts w:ascii="华文仿宋" w:eastAsia="华文仿宋" w:hAnsi="华文仿宋"/>
          <w:sz w:val="28"/>
          <w:szCs w:val="32"/>
        </w:rPr>
        <w:t>研</w:t>
      </w:r>
      <w:proofErr w:type="gramEnd"/>
      <w:r>
        <w:rPr>
          <w:rFonts w:ascii="华文仿宋" w:eastAsia="华文仿宋" w:hAnsi="华文仿宋"/>
          <w:sz w:val="28"/>
          <w:szCs w:val="32"/>
        </w:rPr>
        <w:t xml:space="preserve">阶段应充分考虑通信、线路等专业远近期过渡方案，必要时应单独章节加以说明，各专业应达成共识形成一致意见。 </w:t>
      </w:r>
    </w:p>
    <w:p w:rsidR="008C4821" w:rsidRDefault="008C4821" w:rsidP="008C4821">
      <w:pPr>
        <w:pStyle w:val="a3"/>
        <w:spacing w:line="360" w:lineRule="auto"/>
        <w:ind w:firstLineChars="200" w:firstLine="560"/>
        <w:rPr>
          <w:rFonts w:ascii="华文仿宋" w:eastAsia="华文仿宋" w:hAnsi="华文仿宋"/>
          <w:sz w:val="28"/>
          <w:szCs w:val="32"/>
        </w:rPr>
      </w:pPr>
      <w:r>
        <w:rPr>
          <w:rFonts w:ascii="华文仿宋" w:eastAsia="华文仿宋" w:hAnsi="华文仿宋"/>
          <w:sz w:val="28"/>
          <w:szCs w:val="32"/>
        </w:rPr>
        <w:t xml:space="preserve">（五） 代征地依据 </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在可</w:t>
      </w:r>
      <w:proofErr w:type="gramStart"/>
      <w:r>
        <w:rPr>
          <w:rFonts w:ascii="华文仿宋" w:eastAsia="华文仿宋" w:hAnsi="华文仿宋"/>
          <w:sz w:val="28"/>
          <w:szCs w:val="32"/>
        </w:rPr>
        <w:t>研</w:t>
      </w:r>
      <w:proofErr w:type="gramEnd"/>
      <w:r>
        <w:rPr>
          <w:rFonts w:ascii="华文仿宋" w:eastAsia="华文仿宋" w:hAnsi="华文仿宋"/>
          <w:sz w:val="28"/>
          <w:szCs w:val="32"/>
        </w:rPr>
        <w:t>阶段应落实变电站代征地范围及相关支持性文件， 在工程可研中计</w:t>
      </w:r>
      <w:proofErr w:type="gramStart"/>
      <w:r>
        <w:rPr>
          <w:rFonts w:ascii="华文仿宋" w:eastAsia="华文仿宋" w:hAnsi="华文仿宋"/>
          <w:sz w:val="28"/>
          <w:szCs w:val="32"/>
        </w:rPr>
        <w:t>列相关</w:t>
      </w:r>
      <w:proofErr w:type="gramEnd"/>
      <w:r>
        <w:rPr>
          <w:rFonts w:ascii="华文仿宋" w:eastAsia="华文仿宋" w:hAnsi="华文仿宋"/>
          <w:sz w:val="28"/>
          <w:szCs w:val="32"/>
        </w:rPr>
        <w:t xml:space="preserve">代征地费用。 </w:t>
      </w:r>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（六）同一项目由多方出资时，应提供出资分摊依据当同一项目由多方出资建设时，在可</w:t>
      </w:r>
      <w:proofErr w:type="gramStart"/>
      <w:r>
        <w:rPr>
          <w:rFonts w:ascii="华文仿宋" w:eastAsia="华文仿宋" w:hAnsi="华文仿宋"/>
          <w:sz w:val="28"/>
          <w:szCs w:val="32"/>
        </w:rPr>
        <w:t>研</w:t>
      </w:r>
      <w:proofErr w:type="gramEnd"/>
      <w:r>
        <w:rPr>
          <w:rFonts w:ascii="华文仿宋" w:eastAsia="华文仿宋" w:hAnsi="华文仿宋"/>
          <w:sz w:val="28"/>
          <w:szCs w:val="32"/>
        </w:rPr>
        <w:t xml:space="preserve">阶段应明确各方出资情况，建设管理单位应与出资方签订工程出资建设协议或意向书。 </w:t>
      </w:r>
    </w:p>
    <w:p w:rsidR="008C4821" w:rsidRDefault="008C4821" w:rsidP="008C4821">
      <w:pPr>
        <w:pStyle w:val="a3"/>
        <w:spacing w:line="360" w:lineRule="auto"/>
        <w:ind w:firstLineChars="200" w:firstLine="560"/>
        <w:rPr>
          <w:rFonts w:ascii="华文仿宋" w:eastAsia="华文仿宋" w:hAnsi="华文仿宋"/>
          <w:sz w:val="28"/>
          <w:szCs w:val="32"/>
        </w:rPr>
      </w:pPr>
      <w:bookmarkStart w:id="8" w:name="_Toc22832_WPSOffice_Level2"/>
      <w:r>
        <w:rPr>
          <w:rFonts w:ascii="华文仿宋" w:eastAsia="华文仿宋" w:hAnsi="华文仿宋"/>
          <w:sz w:val="28"/>
          <w:szCs w:val="32"/>
        </w:rPr>
        <w:t>四、其他</w:t>
      </w:r>
      <w:bookmarkEnd w:id="8"/>
    </w:p>
    <w:p w:rsidR="008C4821" w:rsidRDefault="008C4821" w:rsidP="008C4821">
      <w:pPr>
        <w:pStyle w:val="a3"/>
        <w:spacing w:line="360" w:lineRule="auto"/>
        <w:ind w:firstLineChars="200" w:firstLine="560"/>
        <w:rPr>
          <w:rFonts w:ascii="华文仿宋" w:eastAsia="华文仿宋" w:hAnsi="华文仿宋"/>
          <w:sz w:val="22"/>
        </w:rPr>
      </w:pPr>
      <w:r>
        <w:rPr>
          <w:rFonts w:ascii="华文仿宋" w:eastAsia="华文仿宋" w:hAnsi="华文仿宋"/>
          <w:sz w:val="28"/>
          <w:szCs w:val="32"/>
        </w:rPr>
        <w:t>110千伏及以上输变电工程应严格按照</w:t>
      </w:r>
      <w:proofErr w:type="gramStart"/>
      <w:r>
        <w:rPr>
          <w:rFonts w:ascii="华文仿宋" w:eastAsia="华文仿宋" w:hAnsi="华文仿宋"/>
          <w:sz w:val="28"/>
          <w:szCs w:val="32"/>
        </w:rPr>
        <w:t>本要求</w:t>
      </w:r>
      <w:proofErr w:type="gramEnd"/>
      <w:r>
        <w:rPr>
          <w:rFonts w:ascii="华文仿宋" w:eastAsia="华文仿宋" w:hAnsi="华文仿宋"/>
          <w:sz w:val="28"/>
          <w:szCs w:val="32"/>
        </w:rPr>
        <w:t>执行，35 千伏及以下工程参照执行。</w:t>
      </w:r>
      <w:proofErr w:type="gramStart"/>
      <w:r>
        <w:rPr>
          <w:rFonts w:ascii="华文仿宋" w:eastAsia="华文仿宋" w:hAnsi="华文仿宋"/>
          <w:sz w:val="28"/>
          <w:szCs w:val="32"/>
        </w:rPr>
        <w:t>本要求由国网</w:t>
      </w:r>
      <w:proofErr w:type="gramEnd"/>
      <w:r>
        <w:rPr>
          <w:rFonts w:ascii="华文仿宋" w:eastAsia="华文仿宋" w:hAnsi="华文仿宋"/>
          <w:sz w:val="28"/>
          <w:szCs w:val="32"/>
        </w:rPr>
        <w:t>河北电力建设部负责解释并监督执行，在执行过程中如有意见或建议</w:t>
      </w:r>
      <w:r>
        <w:rPr>
          <w:rFonts w:ascii="华文仿宋" w:eastAsia="华文仿宋" w:hAnsi="华文仿宋" w:hint="eastAsia"/>
          <w:sz w:val="28"/>
          <w:szCs w:val="32"/>
        </w:rPr>
        <w:t>，</w:t>
      </w:r>
      <w:r>
        <w:rPr>
          <w:rFonts w:ascii="华文仿宋" w:eastAsia="华文仿宋" w:hAnsi="华文仿宋"/>
          <w:sz w:val="28"/>
          <w:szCs w:val="32"/>
        </w:rPr>
        <w:t>请及时反馈。</w:t>
      </w:r>
    </w:p>
    <w:p w:rsidR="008C4821" w:rsidRDefault="008C4821" w:rsidP="008C4821">
      <w:pPr>
        <w:pStyle w:val="a3"/>
        <w:spacing w:line="360" w:lineRule="auto"/>
        <w:ind w:firstLineChars="200" w:firstLine="560"/>
        <w:jc w:val="both"/>
        <w:rPr>
          <w:rFonts w:ascii="华文仿宋" w:eastAsia="华文仿宋" w:hAnsi="华文仿宋"/>
          <w:sz w:val="28"/>
          <w:szCs w:val="32"/>
        </w:rPr>
        <w:sectPr w:rsidR="008C4821">
          <w:pgSz w:w="11906" w:h="16838"/>
          <w:pgMar w:top="1440" w:right="1800" w:bottom="1440" w:left="1800" w:header="851" w:footer="992" w:gutter="0"/>
          <w:cols w:space="425"/>
          <w:docGrid w:type="lines" w:linePitch="312"/>
        </w:sectPr>
      </w:pPr>
    </w:p>
    <w:p w:rsidR="008C4821" w:rsidRDefault="008C4821" w:rsidP="008C4821">
      <w:pPr>
        <w:pStyle w:val="a3"/>
        <w:jc w:val="center"/>
        <w:rPr>
          <w:rFonts w:ascii="华文仿宋" w:eastAsia="华文仿宋" w:hAnsi="华文仿宋"/>
        </w:rPr>
      </w:pPr>
      <w:bookmarkStart w:id="9" w:name="_Toc1294_WPSOffice_Level2"/>
      <w:r>
        <w:rPr>
          <w:rFonts w:ascii="华文仿宋" w:eastAsia="华文仿宋" w:hAnsi="华文仿宋"/>
          <w:sz w:val="44"/>
          <w:szCs w:val="44"/>
        </w:rPr>
        <w:lastRenderedPageBreak/>
        <w:t>XXX 输变电工程可研向初设移交条件清单（220kV 及以下）</w:t>
      </w:r>
      <w:bookmarkEnd w:id="9"/>
    </w:p>
    <w:tbl>
      <w:tblPr>
        <w:tblStyle w:val="a4"/>
        <w:tblW w:w="14322" w:type="dxa"/>
        <w:jc w:val="center"/>
        <w:tblLayout w:type="fixed"/>
        <w:tblLook w:val="04A0" w:firstRow="1" w:lastRow="0" w:firstColumn="1" w:lastColumn="0" w:noHBand="0" w:noVBand="1"/>
      </w:tblPr>
      <w:tblGrid>
        <w:gridCol w:w="997"/>
        <w:gridCol w:w="9923"/>
        <w:gridCol w:w="1843"/>
        <w:gridCol w:w="1559"/>
      </w:tblGrid>
      <w:tr w:rsidR="008C4821" w:rsidTr="00C122AD">
        <w:trPr>
          <w:trHeight w:val="645"/>
          <w:jc w:val="center"/>
        </w:trPr>
        <w:tc>
          <w:tcPr>
            <w:tcW w:w="997"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序号</w:t>
            </w:r>
          </w:p>
        </w:tc>
        <w:tc>
          <w:tcPr>
            <w:tcW w:w="9923"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可</w:t>
            </w:r>
            <w:proofErr w:type="gramStart"/>
            <w:r>
              <w:rPr>
                <w:rFonts w:ascii="华文仿宋" w:eastAsia="华文仿宋" w:hAnsi="华文仿宋"/>
              </w:rPr>
              <w:t>研</w:t>
            </w:r>
            <w:proofErr w:type="gramEnd"/>
            <w:r>
              <w:rPr>
                <w:rFonts w:ascii="华文仿宋" w:eastAsia="华文仿宋" w:hAnsi="华文仿宋"/>
              </w:rPr>
              <w:t>向初设移交条件</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发展部确认</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建设部确认</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1</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项目核准文件 </w:t>
            </w:r>
          </w:p>
        </w:tc>
        <w:tc>
          <w:tcPr>
            <w:tcW w:w="1843"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2</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可行性研究批复文件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3</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变电站选址意见书、站址协议（有效期内）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4</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线路路径协议（有效期内</w:t>
            </w:r>
            <w:r>
              <w:rPr>
                <w:rFonts w:ascii="华文仿宋" w:eastAsia="华文仿宋" w:hAnsi="华文仿宋" w:hint="eastAsia"/>
              </w:rPr>
              <w:t>）、</w:t>
            </w:r>
            <w:r>
              <w:rPr>
                <w:rFonts w:ascii="华文仿宋" w:eastAsia="华文仿宋" w:hAnsi="华文仿宋"/>
              </w:rPr>
              <w:t xml:space="preserve">重要交叉跨越等协议、规划、土地协议、跨越林地等的协议证明。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5</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视工程具体情况落实地质、地震、矿产、文物、电信、军事、民用航空、航道、公路、石油天然气、草原行政、林业行政、风景名胜区、自然保护区、河道、水利等专项协议。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6</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有关专业过渡方案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7</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代征地依据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997"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8</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同一项目由多方出资时，应提供出资分摊依据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bl>
    <w:p w:rsidR="008C4821" w:rsidRDefault="008C4821" w:rsidP="008C4821">
      <w:pPr>
        <w:pStyle w:val="a3"/>
        <w:ind w:firstLineChars="100" w:firstLine="240"/>
        <w:rPr>
          <w:rFonts w:ascii="华文仿宋" w:eastAsia="华文仿宋" w:hAnsi="华文仿宋"/>
        </w:rPr>
      </w:pPr>
      <w:r>
        <w:rPr>
          <w:rFonts w:ascii="华文仿宋" w:eastAsia="华文仿宋" w:hAnsi="华文仿宋"/>
        </w:rPr>
        <w:t>发展策划部主任：</w:t>
      </w:r>
      <w:r>
        <w:rPr>
          <w:rFonts w:ascii="华文仿宋" w:eastAsia="华文仿宋" w:hAnsi="华文仿宋" w:hint="eastAsia"/>
        </w:rPr>
        <w:t xml:space="preserve"> </w:t>
      </w:r>
      <w:r>
        <w:rPr>
          <w:rFonts w:ascii="华文仿宋" w:eastAsia="华文仿宋" w:hAnsi="华文仿宋"/>
        </w:rPr>
        <w:t xml:space="preserve">                    建设部主任：</w:t>
      </w:r>
      <w:r>
        <w:rPr>
          <w:rFonts w:ascii="华文仿宋" w:eastAsia="华文仿宋" w:hAnsi="华文仿宋" w:hint="eastAsia"/>
        </w:rPr>
        <w:t xml:space="preserve"> </w:t>
      </w:r>
      <w:r>
        <w:rPr>
          <w:rFonts w:ascii="华文仿宋" w:eastAsia="华文仿宋" w:hAnsi="华文仿宋"/>
        </w:rPr>
        <w:t xml:space="preserve">                    建设分管领导：                    年  月  日 </w:t>
      </w:r>
    </w:p>
    <w:p w:rsidR="008C4821" w:rsidRDefault="008C4821" w:rsidP="008C4821">
      <w:pPr>
        <w:pStyle w:val="a3"/>
        <w:spacing w:line="360" w:lineRule="auto"/>
        <w:ind w:firstLineChars="200" w:firstLine="880"/>
        <w:jc w:val="both"/>
        <w:rPr>
          <w:rFonts w:ascii="华文仿宋" w:eastAsia="华文仿宋" w:hAnsi="华文仿宋"/>
          <w:sz w:val="44"/>
          <w:szCs w:val="44"/>
        </w:rPr>
        <w:sectPr w:rsidR="008C4821">
          <w:pgSz w:w="16838" w:h="11906" w:orient="landscape"/>
          <w:pgMar w:top="720" w:right="777" w:bottom="720" w:left="720" w:header="851" w:footer="992" w:gutter="0"/>
          <w:cols w:space="0"/>
          <w:docGrid w:type="lines" w:linePitch="312"/>
        </w:sectPr>
      </w:pPr>
    </w:p>
    <w:p w:rsidR="008C4821" w:rsidRDefault="008C4821" w:rsidP="008C4821">
      <w:pPr>
        <w:pStyle w:val="a3"/>
        <w:jc w:val="center"/>
        <w:rPr>
          <w:rFonts w:ascii="华文仿宋" w:eastAsia="华文仿宋" w:hAnsi="华文仿宋"/>
        </w:rPr>
      </w:pPr>
      <w:bookmarkStart w:id="10" w:name="_Toc24120_WPSOffice_Level2"/>
      <w:r>
        <w:rPr>
          <w:rFonts w:ascii="华文仿宋" w:eastAsia="华文仿宋" w:hAnsi="华文仿宋"/>
          <w:sz w:val="44"/>
          <w:szCs w:val="44"/>
        </w:rPr>
        <w:lastRenderedPageBreak/>
        <w:t>XXX 输变电工程可研向初设移交条件清单（500kV 及以上）</w:t>
      </w:r>
      <w:bookmarkEnd w:id="10"/>
    </w:p>
    <w:tbl>
      <w:tblPr>
        <w:tblStyle w:val="a4"/>
        <w:tblW w:w="14181" w:type="dxa"/>
        <w:jc w:val="center"/>
        <w:tblLayout w:type="fixed"/>
        <w:tblLook w:val="04A0" w:firstRow="1" w:lastRow="0" w:firstColumn="1" w:lastColumn="0" w:noHBand="0" w:noVBand="1"/>
      </w:tblPr>
      <w:tblGrid>
        <w:gridCol w:w="856"/>
        <w:gridCol w:w="9923"/>
        <w:gridCol w:w="1843"/>
        <w:gridCol w:w="1559"/>
      </w:tblGrid>
      <w:tr w:rsidR="008C4821" w:rsidTr="00C122AD">
        <w:trPr>
          <w:trHeight w:val="645"/>
          <w:jc w:val="center"/>
        </w:trPr>
        <w:tc>
          <w:tcPr>
            <w:tcW w:w="856"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序号</w:t>
            </w:r>
          </w:p>
        </w:tc>
        <w:tc>
          <w:tcPr>
            <w:tcW w:w="9923"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可</w:t>
            </w:r>
            <w:proofErr w:type="gramStart"/>
            <w:r>
              <w:rPr>
                <w:rFonts w:ascii="华文仿宋" w:eastAsia="华文仿宋" w:hAnsi="华文仿宋"/>
              </w:rPr>
              <w:t>研</w:t>
            </w:r>
            <w:proofErr w:type="gramEnd"/>
            <w:r>
              <w:rPr>
                <w:rFonts w:ascii="华文仿宋" w:eastAsia="华文仿宋" w:hAnsi="华文仿宋"/>
              </w:rPr>
              <w:t>向初设移交条件</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发展部确认</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建设部确认</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1</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项目核准文件 </w:t>
            </w:r>
          </w:p>
        </w:tc>
        <w:tc>
          <w:tcPr>
            <w:tcW w:w="1843"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2</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可行性研究批复文件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3</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变电站选址意见书、站址协议（有效期内）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4</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线路路径协议（有效期内）、重要交叉跨越等协议、规划、土地协议、跨越林地等的协议证明。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5</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视工程具体情况落实地质、地震、矿产、文物、电信、军事、民用航空、航道、公路、石油天然气、草原行政、林业行政、风景名胜区、自然保护区、河道、水利等专项协议。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6</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有关专业过渡方案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7</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代征地依据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r w:rsidR="008C4821" w:rsidTr="00C122AD">
        <w:trPr>
          <w:jc w:val="center"/>
        </w:trPr>
        <w:tc>
          <w:tcPr>
            <w:tcW w:w="856"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hint="eastAsia"/>
                <w:sz w:val="32"/>
                <w:szCs w:val="32"/>
              </w:rPr>
              <w:t>8</w:t>
            </w:r>
          </w:p>
        </w:tc>
        <w:tc>
          <w:tcPr>
            <w:tcW w:w="9923" w:type="dxa"/>
            <w:vAlign w:val="center"/>
          </w:tcPr>
          <w:p w:rsidR="008C4821" w:rsidRDefault="008C4821" w:rsidP="00C122AD">
            <w:pPr>
              <w:pStyle w:val="a3"/>
              <w:rPr>
                <w:rFonts w:ascii="华文仿宋" w:eastAsia="华文仿宋" w:hAnsi="华文仿宋"/>
              </w:rPr>
            </w:pPr>
            <w:r>
              <w:rPr>
                <w:rFonts w:ascii="华文仿宋" w:eastAsia="华文仿宋" w:hAnsi="华文仿宋"/>
              </w:rPr>
              <w:t xml:space="preserve">同一项目由多方出资时，应提供出资分摊依据 </w:t>
            </w:r>
          </w:p>
        </w:tc>
        <w:tc>
          <w:tcPr>
            <w:tcW w:w="1843"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c>
          <w:tcPr>
            <w:tcW w:w="1559" w:type="dxa"/>
            <w:vAlign w:val="center"/>
          </w:tcPr>
          <w:p w:rsidR="008C4821" w:rsidRDefault="008C4821" w:rsidP="00C122AD">
            <w:pPr>
              <w:pStyle w:val="a3"/>
              <w:jc w:val="center"/>
              <w:rPr>
                <w:rFonts w:ascii="华文仿宋" w:eastAsia="华文仿宋" w:hAnsi="华文仿宋"/>
                <w:sz w:val="32"/>
                <w:szCs w:val="32"/>
              </w:rPr>
            </w:pPr>
            <w:r>
              <w:rPr>
                <w:rFonts w:ascii="华文仿宋" w:eastAsia="华文仿宋" w:hAnsi="华文仿宋"/>
              </w:rPr>
              <w:t>是□ 否□</w:t>
            </w:r>
          </w:p>
        </w:tc>
      </w:tr>
    </w:tbl>
    <w:p w:rsidR="008C4821" w:rsidRDefault="008C4821" w:rsidP="008C4821">
      <w:pPr>
        <w:pStyle w:val="a3"/>
        <w:rPr>
          <w:rFonts w:ascii="华文仿宋" w:eastAsia="华文仿宋" w:hAnsi="华文仿宋"/>
        </w:rPr>
      </w:pPr>
      <w:r>
        <w:rPr>
          <w:rFonts w:ascii="华文仿宋" w:eastAsia="华文仿宋" w:hAnsi="华文仿宋"/>
        </w:rPr>
        <w:t>经研院前期主管部门主任：         经研院建设管理中心主任：                经研院分管建设管理中心领导：</w:t>
      </w:r>
    </w:p>
    <w:p w:rsidR="008C4821" w:rsidRDefault="008C4821" w:rsidP="008C4821">
      <w:pPr>
        <w:pStyle w:val="a3"/>
        <w:spacing w:line="360" w:lineRule="auto"/>
        <w:jc w:val="both"/>
        <w:rPr>
          <w:rFonts w:ascii="华文仿宋" w:eastAsia="华文仿宋" w:hAnsi="华文仿宋"/>
          <w:sz w:val="44"/>
          <w:szCs w:val="44"/>
        </w:rPr>
        <w:sectPr w:rsidR="008C4821">
          <w:pgSz w:w="16838" w:h="11906" w:orient="landscape"/>
          <w:pgMar w:top="720" w:right="720" w:bottom="720" w:left="720" w:header="851" w:footer="992" w:gutter="0"/>
          <w:cols w:space="0"/>
          <w:docGrid w:type="lines" w:linePitch="312"/>
        </w:sectPr>
      </w:pPr>
      <w:r>
        <w:rPr>
          <w:rFonts w:ascii="华文仿宋" w:eastAsia="华文仿宋" w:hAnsi="华文仿宋"/>
        </w:rPr>
        <w:t xml:space="preserve">属地公司发展策划部主任：         属地公司建设部主任：                    属地公司建设分管领导：        年  月  </w:t>
      </w:r>
    </w:p>
    <w:p w:rsidR="008742FA" w:rsidRPr="008C4821" w:rsidRDefault="008742FA"/>
    <w:sectPr w:rsidR="008742FA" w:rsidRPr="008C4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7C3F51"/>
    <w:multiLevelType w:val="singleLevel"/>
    <w:tmpl w:val="997C3F51"/>
    <w:lvl w:ilvl="0">
      <w:start w:val="1"/>
      <w:numFmt w:val="chineseCounting"/>
      <w:suff w:val="nothing"/>
      <w:lvlText w:val="%1、"/>
      <w:lvlJc w:val="left"/>
      <w:rPr>
        <w:rFonts w:hint="eastAsia"/>
      </w:rPr>
    </w:lvl>
  </w:abstractNum>
  <w:abstractNum w:abstractNumId="1" w15:restartNumberingAfterBreak="0">
    <w:nsid w:val="E607B195"/>
    <w:multiLevelType w:val="singleLevel"/>
    <w:tmpl w:val="E607B195"/>
    <w:lvl w:ilvl="0">
      <w:start w:val="1"/>
      <w:numFmt w:val="lowerLetter"/>
      <w:suff w:val="space"/>
      <w:lvlText w:val="%1."/>
      <w:lvlJc w:val="left"/>
    </w:lvl>
  </w:abstractNum>
  <w:abstractNum w:abstractNumId="2" w15:restartNumberingAfterBreak="0">
    <w:nsid w:val="EA6F405A"/>
    <w:multiLevelType w:val="singleLevel"/>
    <w:tmpl w:val="EA6F405A"/>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1"/>
    <w:rsid w:val="000062EC"/>
    <w:rsid w:val="0004454D"/>
    <w:rsid w:val="000557F0"/>
    <w:rsid w:val="000852D1"/>
    <w:rsid w:val="000B2EB1"/>
    <w:rsid w:val="000B58B8"/>
    <w:rsid w:val="00112744"/>
    <w:rsid w:val="00137D1A"/>
    <w:rsid w:val="00162F78"/>
    <w:rsid w:val="0018669D"/>
    <w:rsid w:val="001A6C33"/>
    <w:rsid w:val="001F1902"/>
    <w:rsid w:val="00202B40"/>
    <w:rsid w:val="0023285B"/>
    <w:rsid w:val="00336F1E"/>
    <w:rsid w:val="003F586D"/>
    <w:rsid w:val="00434825"/>
    <w:rsid w:val="004734A0"/>
    <w:rsid w:val="004739BC"/>
    <w:rsid w:val="0048742B"/>
    <w:rsid w:val="00501657"/>
    <w:rsid w:val="00552EBB"/>
    <w:rsid w:val="005621F9"/>
    <w:rsid w:val="005B75C7"/>
    <w:rsid w:val="00635FBF"/>
    <w:rsid w:val="0066764A"/>
    <w:rsid w:val="0068212C"/>
    <w:rsid w:val="006E7E55"/>
    <w:rsid w:val="00732138"/>
    <w:rsid w:val="008742FA"/>
    <w:rsid w:val="0088038F"/>
    <w:rsid w:val="008C4821"/>
    <w:rsid w:val="008F63FB"/>
    <w:rsid w:val="00910278"/>
    <w:rsid w:val="00926027"/>
    <w:rsid w:val="009814FE"/>
    <w:rsid w:val="00A7018F"/>
    <w:rsid w:val="00AF40C5"/>
    <w:rsid w:val="00C37DE7"/>
    <w:rsid w:val="00CF5DC7"/>
    <w:rsid w:val="00D959FC"/>
    <w:rsid w:val="00DF26D3"/>
    <w:rsid w:val="00E41F75"/>
    <w:rsid w:val="00EB0952"/>
    <w:rsid w:val="00EC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D076"/>
  <w15:chartTrackingRefBased/>
  <w15:docId w15:val="{50B4E9ED-402C-4710-A61A-4A55614C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821"/>
    <w:pPr>
      <w:widowControl w:val="0"/>
      <w:jc w:val="both"/>
    </w:pPr>
    <w:rPr>
      <w:szCs w:val="24"/>
    </w:rPr>
  </w:style>
  <w:style w:type="paragraph" w:styleId="1">
    <w:name w:val="heading 1"/>
    <w:basedOn w:val="a"/>
    <w:next w:val="a"/>
    <w:link w:val="10"/>
    <w:qFormat/>
    <w:rsid w:val="008C4821"/>
    <w:pPr>
      <w:keepNext/>
      <w:keepLines/>
      <w:spacing w:before="340" w:after="330" w:line="576" w:lineRule="auto"/>
      <w:outlineLvl w:val="0"/>
    </w:pPr>
    <w:rPr>
      <w:b/>
      <w:kern w:val="44"/>
      <w:sz w:val="44"/>
    </w:rPr>
  </w:style>
  <w:style w:type="paragraph" w:styleId="2">
    <w:name w:val="heading 2"/>
    <w:basedOn w:val="a"/>
    <w:next w:val="a"/>
    <w:link w:val="20"/>
    <w:unhideWhenUsed/>
    <w:qFormat/>
    <w:rsid w:val="008C4821"/>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8C4821"/>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C4821"/>
    <w:rPr>
      <w:b/>
      <w:kern w:val="44"/>
      <w:sz w:val="44"/>
      <w:szCs w:val="24"/>
    </w:rPr>
  </w:style>
  <w:style w:type="character" w:customStyle="1" w:styleId="20">
    <w:name w:val="标题 2 字符"/>
    <w:basedOn w:val="a0"/>
    <w:link w:val="2"/>
    <w:rsid w:val="008C4821"/>
    <w:rPr>
      <w:rFonts w:ascii="Arial" w:eastAsia="黑体" w:hAnsi="Arial"/>
      <w:b/>
      <w:sz w:val="32"/>
      <w:szCs w:val="24"/>
    </w:rPr>
  </w:style>
  <w:style w:type="character" w:customStyle="1" w:styleId="30">
    <w:name w:val="标题 3 字符"/>
    <w:basedOn w:val="a0"/>
    <w:link w:val="3"/>
    <w:rsid w:val="008C4821"/>
    <w:rPr>
      <w:b/>
      <w:sz w:val="32"/>
      <w:szCs w:val="24"/>
    </w:rPr>
  </w:style>
  <w:style w:type="paragraph" w:styleId="a3">
    <w:name w:val="Normal (Web)"/>
    <w:basedOn w:val="a"/>
    <w:uiPriority w:val="99"/>
    <w:unhideWhenUsed/>
    <w:rsid w:val="008C4821"/>
    <w:pPr>
      <w:widowControl/>
      <w:spacing w:before="100" w:beforeAutospacing="1" w:after="100" w:afterAutospacing="1"/>
      <w:jc w:val="left"/>
    </w:pPr>
    <w:rPr>
      <w:rFonts w:ascii="宋体" w:eastAsia="宋体" w:hAnsi="宋体" w:cs="宋体"/>
      <w:kern w:val="0"/>
      <w:sz w:val="24"/>
    </w:rPr>
  </w:style>
  <w:style w:type="table" w:styleId="a4">
    <w:name w:val="Table Grid"/>
    <w:basedOn w:val="a1"/>
    <w:qFormat/>
    <w:rsid w:val="008C48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11</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亮亮的梦想</dc:creator>
  <cp:keywords/>
  <dc:description/>
  <cp:lastModifiedBy>亮亮的梦想</cp:lastModifiedBy>
  <cp:revision>22</cp:revision>
  <dcterms:created xsi:type="dcterms:W3CDTF">2018-09-08T03:47:00Z</dcterms:created>
  <dcterms:modified xsi:type="dcterms:W3CDTF">2018-09-28T02:25:00Z</dcterms:modified>
</cp:coreProperties>
</file>