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 分析卡方检验是否呈现显著性（p值小于0.05或0.01，严格为0.01，不严格为0.05）；
2. 若呈现显著性，具体根据类别的差异百分比进行描述；
3. 若呈现显著性，可接着根据效应指标对差异进行深入量化分析。</w:t>
      </w:r>
    </w:p>
    <w:p>
      <w:pPr>
        <w:pStyle w:val="Heading3"/>
        <w:widowControl/>
      </w:pPr>
      <w:r>
        <w:t xml:space="preserve">卡方检验分析结果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输出结果1：卡方检验分析结果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题目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名称</w:t>
            </w: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表面风化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总计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X²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校正X²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无风化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风化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40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6.880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5.452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0.009***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纹饰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4.957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4.957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0.084*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B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颜色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浅绿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7.234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7.234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0.405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浅蓝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深绿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深蓝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紫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蓝绿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黑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上表展示了模型检验的结果，包括数据的频数、频数百分比、卡方值、显著性P值。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分析模型是否呈现出显著性（P值小于0.05或0.01）；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若呈现显著性，拒绝原假设，则说明各样本之间存在显著性差异。具体根据类别的差异百分比进行描述。反之数据不存在显著性差异。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卡方检验分析的结果显示，对于表面风化，显著性P值为0.009***，水平上呈现显著性，拒绝原假设，因此对于表面风化和类型数据存在显著性差异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卡方检验分析的结果显示，对于表面风化，显著性P值为0.084*，水平上不呈现显著性，接受原假设，因此对于表面风化和纹饰数据不存在显著性差异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卡方检验分析的结果显示，对于表面风化，显著性P值为0.405，水平上不呈现显著性，接受原假设，因此对于表面风化和颜色数据不存在显著性差异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输出结果2：卡方交叉热力图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表面风化-类型热力图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上图展示了热力图的形式展示了交叉列联表的值，主要通过颜色深浅去表示值的大小。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表面风化-纹饰热力图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上图展示了热力图的形式展示了交叉列联表的值，主要通过颜色深浅去表示值的大小。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表面风化-颜色热力图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上图展示了热力图的形式展示了交叉列联表的值，主要通过颜色深浅去表示值的大小。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输出结果3：效应量化分析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字段名/分析项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Phi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Crammer's V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列联系数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lambda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纹饰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颜色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上表展示了效应量化分析的结果，包括phi、Crammer's V、列联系数、lambda ，用于分析样本的相关程度。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当呈现出显著性差异（前提），结合分析效应量指标对差异性进行量化分析；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效应量化指标反映的是变量之间的相关程度；</w:t>
      </w:r>
      <w:r>
        <w:rPr>
          <w:b w:val="false"/>
          <w:bCs w:val="false"/>
          <w:color w:val="000000"/>
          <w:sz w:val="21"/>
          <w:szCs w:val="21"/>
        </w:rPr>
        <w:br/>
        <w:t xml:space="preserve">3. 根据交叉类型的不同，可以选用不同的效应量指标。(交叉类型表示：交叉表横向格子数×纵向格子数)；</w:t>
      </w:r>
      <w:r>
        <w:rPr>
          <w:b w:val="false"/>
          <w:bCs w:val="false"/>
          <w:color w:val="000000"/>
          <w:sz w:val="21"/>
          <w:szCs w:val="21"/>
        </w:rPr>
        <w:br/>
        <w:t xml:space="preserve">4. phi系数： phi相关系数的大小，表示两样本之间的关联程度。当phi系数小于0.3时，表示相关较弱；当phi系数大于0.6时，表示相关较强。（用于2×2交叉类型表）；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5. Cramer's V: 与phi系数作用相似，但Cramer's V系数的作用范围较广。当两个变量相互独立时，V=0，当数据中只有2个二分类变量时，Cramer's V系数的结果与phi相同（若m≠n，建议使用Cramer's V 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6. 列联系数：简称C系数，用于3×3或4×4交叉表，但其受行列数的影响，随着R和C 的增大而增大。因此根据不同的行列和计算的列联系数不便于比较，除非两个列联表中行数和列数一致；</w:t>
      </w:r>
      <w:r>
        <w:rPr>
          <w:b w:val="false"/>
          <w:bCs w:val="false"/>
          <w:color w:val="000000"/>
          <w:sz w:val="21"/>
          <w:szCs w:val="21"/>
        </w:rPr>
        <w:br/>
        <w:t xml:space="preserve">7. lambda：用于反应自变量对因变量的预测效果，一般情况下，其值为1时表示自变量预测因变量效果较好，为0时表明自变量预测因变量较差（X或Y有定序数据时，建议使用lambda）。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效应量化分析的结果显示，分析项：类型 Cramer’s V值为0.344，因此类型和表面风化的差异程度为中等程度差异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效应量化分析的结果显示，分析项：纹饰 Cramer’s V值为0.292，因此纹饰和表面风化的差异程度为中等程度差异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效应量化分析的结果显示，分析项：颜色 Cramer’s V值为0.353，因此颜色和表面风化的差异程度为中等程度差异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6mw5sqpnizhytd9l6d3qx.png"/><Relationship Id="rId6" Type="http://schemas.openxmlformats.org/officeDocument/2006/relationships/image" Target="media/y_x-qvszup7-ki6wg204w.png"/><Relationship Id="rId7" Type="http://schemas.openxmlformats.org/officeDocument/2006/relationships/image" Target="media/dnzylwvffjwkjetuxpia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2022-09-16T08:26:07.716Z</dcterms:created>
  <dcterms:modified xsi:type="dcterms:W3CDTF">2022-09-16T08:26:07.716Z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