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首先根据权重计算结果对各指标的权重进行分析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通过权重计算结果得到权重分析矩阵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对分析进行总结</w:t>
      </w:r>
    </w:p>
    <w:p>
      <w:pPr>
        <w:pStyle w:val="Heading3"/>
        <w:widowControl/>
      </w:pPr>
      <w:r>
        <w:t xml:space="preserve">CRITIC权重分析结果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输出结果1：权重计算结果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项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指标变异性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指标冲突性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信息量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权重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14.467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19.768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285.977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13.881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5.308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9.565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50.767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3.308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33.851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9.197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6.547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8.704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26.779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9.136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14.307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10.911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16.281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11.063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5.688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10.367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8.725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10.041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9.482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0.004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上表展示了CRITIC法的权重计算结果，根据结果对各个指标的权重进行分析。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指标变异性为标准差，标准差越大则权重越大；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冲突性为相关系数，指标之间相关性越强则冲突性较低，权重越小；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信息量为指标变异性*冲突性指标；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权重是信息量的归一化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CRITIC法的权重计算结果显示，二氧化硅(SiO2)的权重为58.884%、氧化钠(Na2O)的权重为2.858%、氧化钾(K2O)的权重为10.453%、氧化钙(CaO)的权重为6.97%、氧化镁(MgO)的权重为1.348%、氧化铝(Al2O3)的权重为5.514%、氧化铁(Fe2O3)的权重为2.946%、氧化铜(CuO)的权重为3.352%、氧化铅(PbO)的权重为1.171%、氧化钡(BaO)的权重为1.797%、五氧化二磷(P2O5)的权重为2.648%、氧化锶(SrO)的权重为0.086%、氧化锡(SnO2)的权重为1.574%、二氧化硫(SO2)的权重为0.399%，其中指标权重最大值为二氧化硅(SiO2) （58.884%），最小值为氧化锶(SrO) （0.086%）。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输出结果2：指标重要度直方图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上图以直方图形式展示了指标的重要度排序（降序）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cr059k7nrggch8wrx-ue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2022-09-16T09:56:24.763Z</dcterms:created>
  <dcterms:modified xsi:type="dcterms:W3CDTF">2022-09-16T09:56:24.763Z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