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</w:pPr>
    </w:p>
    <w:p>
      <w:pPr>
        <w:pBdr>
          <w:top w:val="single" w:color="1B4965" w:sz="80" w:space="0"/>
        </w:pBdr>
        <w:spacing w:after="0"/>
      </w:pPr>
    </w:p>
    <w:p>
      <w:pPr>
        <w:spacing w:after="360" w:before="360"/>
      </w:pPr>
    </w:p>
    <w:p>
      <w:pPr>
        <w:spacing w:after="150"/>
        <w:jc w:val="center"/>
      </w:pPr>
      <w:r>
        <w:rPr>
          <w:rFonts w:ascii="Arial" w:eastAsia="Microsoft YaHei" w:hAnsi="Arial"/>
          <w:color w:val="5FA8D3"/>
          <w:spacing w:val="200"/>
          <w:sz w:val="22"/>
          <w:szCs w:val="22"/>
        </w:rPr>
        <w:t xml:space="preserve">O N L I N E   R E T A I L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B4965"/>
          <w:sz w:val="52"/>
          <w:szCs w:val="52"/>
        </w:rPr>
        <w:t xml:space="preserve">在线零售业务数据分析报告</w:t>
      </w:r>
    </w:p>
    <w:p>
      <w:pPr>
        <w:spacing w:after="3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基于 RFM 模型 | 客户细分 | 销售洞察</w:t>
      </w:r>
    </w:p>
    <w:p>
      <w:pPr>
        <w:pBdr>
          <w:bottom w:val="single" w:color="5FA8D3" w:sz="4" w:space="4"/>
        </w:pBdr>
        <w:spacing w:after="300" w:before="300"/>
        <w:jc w:val="center"/>
      </w:pP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nil" w:color="FFFFFF" w:sz="0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B4965"/>
                <w:sz w:val="48"/>
                <w:szCs w:val="48"/>
              </w:rPr>
              <w:t xml:space="preserve">8.91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Million GBP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总销售额</w:t>
            </w:r>
          </w:p>
        </w:tc>
        <w:tc>
          <w:tcPr>
            <w:tcW w:type="dxa" w:w="2500"/>
            <w:tcBorders>
              <w:top w:val="single" w:color="DDDDDD" w:sz="1"/>
              <w:left w:val="nil" w:color="FFFFFF" w:sz="0"/>
              <w:bottom w:val="single" w:color="DDDDDD" w:sz="1"/>
              <w:right w:val="nil" w:color="FFFFFF" w:sz="0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5FA8D3"/>
                <w:sz w:val="48"/>
                <w:szCs w:val="48"/>
              </w:rPr>
              <w:t xml:space="preserve">4,338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位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客户总数</w:t>
            </w:r>
          </w:p>
        </w:tc>
        <w:tc>
          <w:tcPr>
            <w:tcW w:type="dxa" w:w="2500"/>
            <w:tcBorders>
              <w:top w:val="single" w:color="DDDDDD" w:sz="1"/>
              <w:left w:val="nil" w:color="FFFFFF" w:sz="0"/>
              <w:bottom w:val="single" w:color="DDDDDD" w:sz="1"/>
              <w:right w:val="single" w:color="DDDDDD" w:sz="1"/>
            </w:tcBorders>
            <w:tcMar>
              <w:top w:type="dxa" w:w="180"/>
              <w:left w:type="dxa" w:w="100"/>
              <w:bottom w:type="dxa" w:w="1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2B6CB"/>
                <w:sz w:val="48"/>
                <w:szCs w:val="48"/>
              </w:rPr>
              <w:t xml:space="preserve">18,532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笔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8"/>
                <w:szCs w:val="18"/>
              </w:rPr>
              <w:t xml:space="preserve">订单总数</w:t>
            </w:r>
          </w:p>
        </w:tc>
      </w:tr>
    </w:tbl>
    <w:p>
      <w:pPr>
        <w:spacing w:after="240" w:before="240"/>
      </w:pP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分析周期：2010-12-01 至 2011-12-09</w:t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目 录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分析背景与目标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数据概览与预处理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销售趋势分析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RFM客户价值分析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客户细分洞察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商品与销售分析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运营建议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26"/>
        <w:gridCol w:w="2000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A8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6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总结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color w:val="5FA8D3"/>
                <w:sz w:val="21"/>
                <w:szCs w:val="21"/>
              </w:rPr>
              <w:t xml:space="preserve">&gt;&gt;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一、分析背景与目标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1.1 项目背景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本报告基于一家英国在线零售公司的真实交易数据，通过RFM（Recency-Frequency-Monetary）客户价值分析模型，深入挖掘客户行为特征，识别高价值客户群体，为精准营销和客户关系管理提供数据支撑。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1.2 分析目标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识别高价值客户群体，优化客户资源配置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分析销售趋势，把握业务增长机会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细分客户群体，制定差异化营销策略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挖掘商品销售规律，优化库存管理</w:t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二、数据概览与预处理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2.1 原始数据概况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cantSplit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数据特征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原始记录数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541,909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原始交易记录总数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13个月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2010年12月至2011年12月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数据字段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8个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订单号、商品编码、描述、数量、日期、单价、客户ID、国家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2.2 数据清洗步骤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为确保分析质量，对原始数据进行了以下清洗处理：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cantSplit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清洗步骤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删除记录数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删除无客户ID记录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135,080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无法识别客户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删除退货记录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8,945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数量为负的退货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删除异常价格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单价为0或负数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2.3 清洗后数据汇总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rPr>
          <w:cantSplit/>
        </w:trPr>
        <w:tc>
          <w:tcPr>
            <w:tcW w:type="dxa" w:w="2256"/>
            <w:tcBorders>
              <w:top w:val="single" w:color="1B4965" w:sz="8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B4965"/>
                <w:sz w:val="36"/>
                <w:szCs w:val="36"/>
              </w:rPr>
              <w:t xml:space="preserve">397,884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条有效记录</w:t>
            </w:r>
          </w:p>
        </w:tc>
        <w:tc>
          <w:tcPr>
            <w:tcW w:type="dxa" w:w="2257"/>
            <w:tcBorders>
              <w:top w:val="single" w:color="5FA8D3" w:sz="8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5FA8D3"/>
                <w:sz w:val="36"/>
                <w:szCs w:val="36"/>
              </w:rPr>
              <w:t xml:space="preserve">18,532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笔订单</w:t>
            </w:r>
          </w:p>
        </w:tc>
        <w:tc>
          <w:tcPr>
            <w:tcW w:type="dxa" w:w="2257"/>
            <w:tcBorders>
              <w:top w:val="single" w:color="62B6CB" w:sz="8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62B6CB"/>
                <w:sz w:val="36"/>
                <w:szCs w:val="36"/>
              </w:rPr>
              <w:t xml:space="preserve">4,338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位客户</w:t>
            </w:r>
          </w:p>
        </w:tc>
        <w:tc>
          <w:tcPr>
            <w:tcW w:type="dxa" w:w="2256"/>
            <w:tcBorders>
              <w:top w:val="single" w:color="4CAF50" w:sz="8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CAF50"/>
                <w:sz w:val="36"/>
                <w:szCs w:val="36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color w:val="666666"/>
                <w:sz w:val="16"/>
                <w:szCs w:val="16"/>
              </w:rPr>
              <w:t xml:space="preserve">个国家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三、销售趋势分析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3.1 月度销售趋势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从2010年12月至2011年12月的销售趋势来看，业务呈现明显的增长态势，尤其在2011年下半年销售额显著提升。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FA8D3" w:sz="8"/>
              <w:left w:val="single" w:color="5FA8D3" w:sz="8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B4965"/>
                <w:sz w:val="21"/>
                <w:szCs w:val="21"/>
              </w:rPr>
              <w:t xml:space="preserve">关键发现：</w:t>
            </w:r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2011年11月达到销售峰值 £116万，12月销售额下降可能与数据截止时间有关。整体呈现稳步增长趋势。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3.2 购买时段分析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分析客户的购买时段分布，可以优化客服配置和促销活动时机。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FA8D3" w:sz="8"/>
              <w:left w:val="single" w:color="5FA8D3" w:sz="8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B4965"/>
                <w:sz w:val="21"/>
                <w:szCs w:val="21"/>
              </w:rPr>
              <w:t xml:space="preserve">运营建议：</w:t>
            </w:r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工作日（周一至周五）销售额明显高于周末，建议在周末推出促销活动以平衡销售。上午10点至下午3点是销售高峰时段。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四、RFM客户价值分析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4.1 RFM指标解读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RFM模型是客户价值分析的经典方法，通过三个维度评估客户价值：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Recency (R)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最近一次购买距今天数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R越小，客户越活跃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Frequency (F)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购买次数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F越高，客户忠诚度越高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Monetary (M)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累计消费金额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M越高，客户价值越大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4.2 RFM分布特征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五、客户细分洞察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5.1 客户细分分布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基于RFM评分，将客户分为8个细分群体，每个群体具有不同的行为特征和价值水平。</w:t>
      </w:r>
    </w:p>
    <w:p>
      <w:pPr>
        <w:spacing w:after="180" w:before="18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5.2 细分群体特征与策略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26"/>
      </w:tblGrid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客户群体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营销策略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Champions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19.4%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高价值活跃客户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VIP专属服务、新品优先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Loyal Customers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9.9%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忠诚度高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积分奖励、推荐优惠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Potential Loyalists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6.2%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有潜力成为忠诚客户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会员计划、定期沟通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New Customers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5.2%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近期新客户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欢迎优惠、引导复购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At Risk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1.4%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有流失风险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挽回优惠、调研反馈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1A2E"/>
                <w:sz w:val="20"/>
                <w:szCs w:val="20"/>
              </w:rPr>
              <w:t xml:space="preserve">Cannot Lose Them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8.6%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高价值但近期未购买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1A1A2E"/>
                <w:sz w:val="20"/>
                <w:szCs w:val="20"/>
              </w:rPr>
              <w:t xml:space="preserve">紧急挽回、专属折扣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5.3 客户价值分层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六、商品与销售分析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6.1 国家销售分布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英国是主要市场，占总销售额的82%。其他欧洲国家也贡献了可观的销售额。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6.2 TOP畅销商品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FA8D3" w:sz="8"/>
              <w:left w:val="single" w:color="5FA8D3" w:sz="8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eastAsia="Microsoft YaHei" w:hAnsi="Arial"/>
                <w:b/>
                <w:bCs/>
                <w:color w:val="1B4965"/>
                <w:sz w:val="21"/>
                <w:szCs w:val="21"/>
              </w:rPr>
              <w:t xml:space="preserve">商品洞察：</w:t>
            </w:r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纸工艺品和陶瓷储物罐是最畅销品类，礼品类商品表现突出。建议加强这些品类的库存管理和营销推广。</w:t>
            </w:r>
          </w:p>
        </w:tc>
      </w:tr>
    </w:tbl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6.3 客户生命周期价值</w:t>
      </w:r>
    </w:p>
    <w:p>
      <w:pPr>
        <w:spacing w:after="180" w:before="1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七、运营建议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7.1 客户运营策略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Champions群体：提供VIP专属服务，优先体验新品，建立品牌大使计划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Cannot Lose Them群体：发送专属挽回优惠券，进行满意度调研，了解流失原因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New Customers群体：设置欢迎礼包，推送热门商品，引导完成二次购买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Potential Loyalists群体：推出会员积分计划，定期推送个性化推荐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7.2 营销优化建议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时段优化：在周末推出限时促销活动，平衡工作日与周末的销售差异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地域拓展：针对德国、法国等高潜力市场加大营销投入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商品策略：加强纸工艺品和礼品类的库存，开发相关衍生产品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价格策略：根据客户价值分层实施差异化定价，高价值客户享受专属折扣</w:t>
      </w:r>
    </w:p>
    <w:p>
      <w:pPr>
        <w:pStyle w:val="Heading2"/>
        <w:spacing w:after="140" w:before="280"/>
      </w:pPr>
      <w:r>
        <w:rPr>
          <w:rFonts w:ascii="Arial" w:eastAsia="Microsoft YaHei" w:hAnsi="Arial"/>
          <w:b/>
          <w:bCs/>
          <w:color w:val="5FA8D3"/>
          <w:sz w:val="26"/>
          <w:szCs w:val="26"/>
        </w:rPr>
        <w:t xml:space="preserve">▌ 7.3 数据驱动决策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建立RFM模型定期更新机制，每月重新评估客户分层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设置客户流失预警系统，对At Risk客户自动触发挽回流程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A/B测试不同的营销策略，持续优化客户转化效果</w:t>
      </w:r>
    </w:p>
    <w:p>
      <w:pPr>
        <w:spacing w:after="80" w:line="300"/>
        <w:ind w:left="360" w:hanging="200"/>
      </w:pPr>
      <w:r>
        <w:rPr>
          <w:rFonts w:ascii="Arial" w:eastAsia="Microsoft YaHei" w:hAnsi="Arial"/>
          <w:color w:val="5FA8D3"/>
          <w:sz w:val="18"/>
          <w:szCs w:val="18"/>
        </w:rPr>
        <w:t xml:space="preserve">◆ </w:t>
      </w:r>
      <w:r>
        <w:rPr>
          <w:rFonts w:ascii="Arial" w:eastAsia="Microsoft YaHei" w:hAnsi="Arial"/>
          <w:color w:val="1A1A2E"/>
          <w:sz w:val="21"/>
          <w:szCs w:val="21"/>
        </w:rPr>
        <w:t xml:space="preserve">建立客户生命周期价值预测模型，指导获客预算分配</w:t>
      </w:r>
    </w:p>
    <w:p>
      <w:r>
        <w:br w:type="page"/>
      </w:r>
    </w:p>
    <w:p>
      <w:pPr>
        <w:pStyle w:val="Heading1"/>
        <w:pBdr>
          <w:bottom w:val="single" w:color="1B4965" w:sz="8" w:space="8"/>
        </w:pBdr>
        <w:spacing w:after="200" w:before="400"/>
      </w:pPr>
      <w:r>
        <w:rPr>
          <w:rFonts w:ascii="Arial" w:eastAsia="Microsoft YaHei" w:hAnsi="Arial"/>
          <w:b/>
          <w:bCs/>
          <w:color w:val="1B4965"/>
          <w:sz w:val="32"/>
          <w:szCs w:val="32"/>
        </w:rPr>
        <w:t xml:space="preserve">  八、总结</w:t>
      </w:r>
    </w:p>
    <w:p>
      <w:pPr>
        <w:spacing w:after="140" w:line="340"/>
        <w:jc w:val="both"/>
      </w:pPr>
      <w:r>
        <w:rPr>
          <w:rFonts w:ascii="Arial" w:eastAsia="Microsoft YaHei" w:hAnsi="Arial"/>
          <w:color w:val="1A1A2E"/>
          <w:sz w:val="21"/>
          <w:szCs w:val="21"/>
        </w:rPr>
        <w:t xml:space="preserve">通过对在线零售数据的全面分析，我们得出以下核心结论：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业务规模：总销售额£891万，4,338位活跃客户，18,532笔订单，业务呈现稳步增长态势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客户价值：平均客单价£2,054，Champions和Loyal Customers群体贡献了主要收入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增长机会：周末销售有提升空间，德国、法国等欧洲市场有待进一步开发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96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eastAsia="Microsoft YaHei" w:hAnsi="Arial"/>
                <w:color w:val="1A1A2E"/>
                <w:sz w:val="21"/>
                <w:szCs w:val="21"/>
              </w:rPr>
              <w:t xml:space="preserve">运营重点：重点关注Cannot Lose Them群体的挽回，以及New Customers的留存转化</w:t>
            </w:r>
          </w:p>
        </w:tc>
      </w:tr>
    </w:tbl>
    <w:p>
      <w:pPr>
        <w:spacing w:after="60" w:before="60"/>
      </w:pPr>
    </w:p>
    <w:p>
      <w:pPr>
        <w:spacing w:after="180" w:before="180"/>
      </w:pPr>
    </w:p>
    <w:p>
      <w:pPr>
        <w:pBdr>
          <w:top w:val="single" w:color="F5F7FA" w:sz="2" w:space="8"/>
        </w:pBdr>
        <w:spacing w:before="3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— 报告结束 —</w:t>
      </w:r>
    </w:p>
    <w:p>
      <w:pPr>
        <w:spacing w:before="150"/>
        <w:jc w:val="center"/>
      </w:pP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本报告由数据分析自动生成，仅供商业决策参考</w:t>
      </w:r>
    </w:p>
    <w:sectPr>
      <w:headerReference w:type="default" r:id="rId18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7FA" w:sz="2" w:space="4"/>
      </w:pBd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第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F7FA" w:sz="2" w:space="4"/>
      </w:pBdr>
      <w:jc w:val="right"/>
    </w:pPr>
    <w:r>
      <w:rPr>
        <w:rFonts w:ascii="Arial" w:eastAsia="Microsoft YaHei" w:hAnsi="Arial"/>
        <w:color w:val="666666"/>
        <w:sz w:val="16"/>
        <w:szCs w:val="16"/>
      </w:rPr>
      <w:t xml:space="preserve">在线零售业务数据分析报告  |  ONLINE RETAIL ANALYSIS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B4965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80"/>
      <w:outlineLvl w:val="1"/>
    </w:pPr>
    <w:rPr>
      <w:rFonts w:ascii="Arial" w:eastAsia="Microsoft YaHei" w:hAnsi="Arial"/>
      <w:b/>
      <w:bCs/>
      <w:color w:val="5FA8D3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bb150d1c6602f52ba46e74c406e4dc8bc4d996.png"/><Relationship Id="rId10" Type="http://schemas.openxmlformats.org/officeDocument/2006/relationships/image" Target="media/46e9707f597f09b0a7a12ca783b8620c4138440e.png"/><Relationship Id="rId11" Type="http://schemas.openxmlformats.org/officeDocument/2006/relationships/image" Target="media/c4b4ce6433a288c2c365ac81665099600be02c7c.png"/><Relationship Id="rId12" Type="http://schemas.openxmlformats.org/officeDocument/2006/relationships/image" Target="media/4ebf1327ace5eb12dcc58c0f84500266a6e04c5e.png"/><Relationship Id="rId13" Type="http://schemas.openxmlformats.org/officeDocument/2006/relationships/image" Target="media/e67c71a06b52676ff2db2ea8458d7047b77a20c5.png"/><Relationship Id="rId14" Type="http://schemas.openxmlformats.org/officeDocument/2006/relationships/image" Target="media/231b63721c38490e387b72cc32c9c919d4a92bb7.png"/><Relationship Id="rId15" Type="http://schemas.openxmlformats.org/officeDocument/2006/relationships/image" Target="media/e7242e9c563cc0961864a482b686152f9cae1faf.png"/><Relationship Id="rId16" Type="http://schemas.openxmlformats.org/officeDocument/2006/relationships/image" Target="media/556e6202482c45a3fba296f9b263a00de18aaba1.png"/><Relationship Id="rId17" Type="http://schemas.openxmlformats.org/officeDocument/2006/relationships/fontTable" Target="fontTable.xml"/><Relationship Id="rId1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2026-05-07T08:19:42.410Z</dcterms:created>
  <dcterms:modified xsi:type="dcterms:W3CDTF">2026-05-07T08:19:42.411Z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