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collaborating with product and technological teams to develop AI-driven solutions in diverse domains, including media, healthcare, and education. My career progression reflects strategic moves and multiple promotions, highlighting my leadership in cross-department collaborations. I hold an MS in AI and a dual degree in finance (GPA 4.0), equipping me with a strong foundation to bridge AI technologies with editorial operations. My resilience and adaptability are demonstrated by overcoming personal challenges and consistently pursuing growth. I am committed to advocating for responsible AI usage and enhancing editorial workflows through innovative AI applications.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initiatives to enhance customer experience and operational efficiency in media technology.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regions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Secured buy-ins from senior leaders, fostering cross-functional collaboration for KPI redefinition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call-center KPIs, reducing repeats and disconnects, enhancing agent performance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context-driven metrics, improving service quality significantly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Redefined Engineering diagnostics KPIs, boosting customer satisfaction by ?? 2% with reliable products.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project execution, aligning senior leaders with customer-centric strategies for better outcomes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23 new metrics for churn models, increasing prediction accuracy by ?? 2% for marketing teams.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Spearheaded churn model project, improving accuracy by ?? 2%, enhancing CX&amp;R department impact.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Developed data-driven solutions to reduce hospital admissions and optimize healthcare operations.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unnecessary hospital admissions by ?? 14%, saving $6M, impacting 3K+ patients nationwide.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Rebuilt prediction model, boosting accuracy by ?? 30%, reducing inpatient visits by 14% effectively.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Defined risk drivers, reducing ER visits by ?? 20%, enhancing patient care and resource allocation.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Increased operational performance, saving 50% time and $50K by ?? transitioning to in-house support.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PCP attribution algorithms, optimizing resource planning for 500+ healthcare providers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ETL pipelines, saving 50% time, enhancing healthcare economics dashboard efficiency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for regulatory compliance and stakeholder coordination.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Managed healthcare analytics, ensuring compliance with 100+ metrics for regulatory reporting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CMS regulatory reporting deliveries, coordinating with 2 auditor agencies and 7 health plans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Coordinated relations with auditors and health plans, ensuring seamless regulatory compliance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Led analytics initiatives to enhance educator capabilities and student performance monitoring.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educators, enhancing monitoring capabilities with 10 new performance metrics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Transitioned from vendor solutions, saving $50K annually and 50% time with new ETL pipelines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Created metrics to ?? enhance educator capabilities, improving student outcome monitoring significantly.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Designed ETL pipelines, replacing vendor solutions, saving $50K annually and 50% time effectively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Transitioned from a business background to AI, integrating skills in data analysis and machine learning applications.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Completed 7 prerequisites in advanced math and programming, enhancing quantitative and analytical skills.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Completed 11 graduate courses focusing on AI technologies, data science, and consumer product development.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Collaborated on projects involving AI-driven solutions for media and editorial contexts.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Developed strong analytical and decision-making skills applicable to AI and data science.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Gained experience in financial modeling and data analysis, relevant to consumer product development.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Graduated with First Honors Degree, GPA 4.0, awarded Dean’s Scholarship (top 5%).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Built a foundation in quantitative analysis and strategic decision-making.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Learning, Data Analysis, Consumer Product Development, Python, R, SQL, Scikit-learn, TensorFlow, PyTorch, NLP, Cloud platform Azure/AWS, Databricks, Snowflake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Design, A/B Testing, Multivariate Tests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__orig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