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999-999-9999 • xxxx@gmail.com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With a decade of experience in Data Science and Data Engineering, I have a proven track record of leading cross-department collaborations and developing AI-driven solutions. My career has been marked by strategic moves and internal promotions, showcasing my adaptability across video, healthcare, and education domains. I hold an MS in AI and a dual degree in finance (GPA 4.0), underscoring my growth-oriented mindset. My expertise in AI technologies and data analysis aligns with editorial operations, making me adept at bridging journalistic principles with AI solutions. I excel in communicating complex AI concepts to non-technical stakeholders and advocate for responsible AI usage. My leadership skills and strategic mindset are complemented by my resilience and commitment to innovation in media contexts.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0" w:after="0"/>
      </w:pPr>
      <w:r>
        <w:t>Led AI-driven call-center innovations, enhancing customer experience and operational efficiency.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Transformed call-center KPIs, saving $2M+ annually, impacting 8000+ agents across multiple centers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Addressed KPI ambiguities, enhancing clarity and effectiveness in call resolution metrics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Secured buy-in from senior leaders, fostering collaboration in analytics and IT departments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context-driven KPIs, reducing call repeats and disconnects by ?? % across centers.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Enhanced agent coaching with actionable metrics, improving performance by ?? % organization-wide.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Redefined diagnostics KPIs, boosting customer satisfaction by ?? 2% with improved product reliability.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Bridged silos in engineering, promoting customer-centric strategies for better diagnostics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Designed new KPIs, identifying key pain points in video diagnostics for ?? % improvement.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Fostered collaboration between business and engineering, enhancing diagnostic processes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Built 23 new metrics for churn models, increasing accuracy by ?? 2% and impacting marketing strategies.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Developed detractor models, improving churn prediction accuracy by ?? 2% in CX&amp;R department.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project delivery, executing within two months, enhancing department impact significantly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Consultant, Data Science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>
      <w:pPr>
        <w:pStyle w:val="MR_RoleDescription"/>
        <w:spacing w:before="0" w:after="0"/>
      </w:pPr>
      <w:r>
        <w:t>Drove AI solutions in healthcare, reducing hospital admissions and optimizing operational performance.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Reduced hospital admissions by ?? 14%, impacting 3K+ patients and saving $6M in healthcare costs.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Rebuilt prediction models, boosting accuracy by ?? 30% and enhancing patient care outcomes.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Defined risk drivers, reducing inpatient visits by ?? 14% and ER visits by 20% across regions.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Improved dashboard performance, saving 50% time and $50K in operational costs annually by ?? %.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Transitioned to ?? in-house solutions, optimizing resource planning for 500+ healthcare providers.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Optimized ETL pipelines, saving 50% time in healthcare economics metrics dashboarding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0" w:after="0"/>
      </w:pPr>
      <w:r>
        <w:t>Managed complex healthcare analytics, ensuring regulatory compliance and effective reporting.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end-to-end management of healthcare analytics for regulatory compliance across ?? regions.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Delivered CMS regulatory reporting (HEDIS) with 100+ metrics, ensuring compliance annually by ?? %.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Coordinated relations with 2 auditor agencies and 7 health plans, enhancing collaboration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>
      <w:pPr>
        <w:pStyle w:val="MR_RoleDescription"/>
        <w:spacing w:before="0" w:after="0"/>
      </w:pPr>
      <w:r>
        <w:t>Enhanced educator capabilities through analytics, improving statewide student performance monitoring.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analytics for state-wide educators, improving student performance monitoring by ?? %.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Transitioned to ?? in-house support, enhancing end-to-end analytics capabilities for educators.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Created 10 new metrics, enhancing educators' monitoring capabilities for student outcomes by ?? %.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Designed ETL pipelines, replacing vendor solutions, saving $50K annually and 50% time by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Transitioned from a business background to AI, emphasizing cross-functional collaboration and strategic decision-making.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Completed 7 prerequisites in advanced math and programming, essential for data analysis and machine learning applications.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Completed 11 graduate courses focused on AI technologies and their implications in media, including projects on AI-driven editorial solutions.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Developed strong analytical and organizational skills, foundational for data science and consumer product development.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</w:t>
      </w: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Graduated with First Honors Degree, GPA 4.0, awarded Dean’s Scholarship (top 5%), demonstrating leadership and academic excellence.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Machine Learning applications, Data Analysis, Consumer product development, Python, R, SQL, Cloud platform Azure/AWS, Scikit-learn, TensorFlow, PyTorch, NLP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ethics, Decision-making, Organization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teams, Experiment design, A/B testing, Multivariate tests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