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Test User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New York, NY | 555-123-4567 | test@example.com | linkedin.com/in/testuser</w:t>
      </w:r>
    </w:p>
    <w:p>
      <w:pPr>
        <w:spacing w:after="120"/>
      </w:pPr>
    </w:p>
    <w:p>
      <w:pPr>
        <w:pStyle w:val="MR_SectionHeader"/>
        <w:pBdr>
          <w:bottom w:val="single" w:sz="8" w:space="0" w:color="000000"/>
        </w:pBdr>
        <w:shd w:val="clear" w:color="auto" w:fill="ffffff"/>
      </w:pPr>
      <w:r>
        <w:t>PROFESSIONAL SUMMARY</w:t>
      </w:r>
    </w:p>
    <w:p>
      <w:pPr>
        <w:pStyle w:val="MR_SummaryText"/>
      </w:pPr>
      <w:r>
        <w:t>This is a test professional summary to verify margin settings.</w:t>
      </w:r>
    </w:p>
    <w:p>
      <w:pPr>
        <w:spacing w:after="120"/>
      </w:pPr>
    </w:p>
    <w:sectPr w:rsidR="00FC693F" w:rsidRPr="0006063C" w:rsidSect="00034616">
      <w:pgSz w:w="12240" w:h="15840"/>
      <w:pgMar w:top="454" w:right="1417" w:bottom="45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24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