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3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555-PHASE3 • phase3test@example.com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Phase 3 Surgical Fix Test - Validating 100% bullet consistency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