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SKILLS</w:t>
      </w:r>
    </w:p>
    <w:p>
      <w:pPr>
        <w:spacing w:after="80"/>
      </w:pPr>
      <w:r>
        <w:rPr>
          <w:rFonts w:ascii="Calibri" w:hAnsi="Calibri"/>
          <w:b/>
          <w:sz w:val="22"/>
        </w:rPr>
        <w:t>TECHNICAL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AI technologies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Data Science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Data Analysis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Machine Learning Applications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Consumer Product Development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Python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Java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AWS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Docker</w:t>
      </w:r>
    </w:p>
    <w:p>
      <w:pPr>
        <w:spacing w:after="80"/>
      </w:pPr>
      <w:r>
        <w:rPr>
          <w:rFonts w:ascii="Calibri" w:hAnsi="Calibri"/>
          <w:b/>
          <w:sz w:val="22"/>
        </w:rPr>
        <w:t>SOFT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Leadership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Strategic Mindset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Cross-functional Collaboration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Communication of Complex Concepts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Decision-making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Organization</w:t>
      </w:r>
    </w:p>
    <w:p>
      <w:pPr>
        <w:spacing w:after="80"/>
      </w:pPr>
      <w:r>
        <w:rPr>
          <w:rFonts w:ascii="Calibri" w:hAnsi="Calibri"/>
          <w:b/>
          <w:sz w:val="22"/>
        </w:rPr>
        <w:t>OTHER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Editorial Operations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Collaboration with Product Teams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Advocacy for AI Ethics</w:t>
      </w: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