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0" w:after="0" w:line="276" w:lineRule="auto"/>
        <w:jc w:val="center"/>
      </w:pPr>
      <w:r>
        <w:rPr>
          <w:rFonts w:ascii="Calibri" w:hAnsi="Calibri"/>
          <w:b/>
          <w:i w:val="0"/>
          <w:color w:val="000000"/>
          <w:sz w:val="36"/>
        </w:rPr>
        <w:t>Nana Wang</w:t>
      </w:r>
    </w:p>
    <w:p>
      <w:pPr>
        <w:spacing w:before="0" w:after="240" w:line="240" w:lineRule="auto"/>
        <w:jc w:val="center"/>
      </w:pPr>
      <w:r>
        <w:rPr>
          <w:rFonts w:ascii="Calibri" w:hAnsi="Calibri"/>
          <w:b w:val="0"/>
          <w:i w:val="0"/>
          <w:sz w:val="20"/>
        </w:rPr>
        <w:t>301-661-5091 | nwangwk@gmail.com | https://www.linkedin.com/in/nana-wang-00593465/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SUMMARY</w:t>
            </w:r>
          </w:p>
        </w:tc>
      </w:tr>
    </w:tbl>
    <w:p>
      <w:pPr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Strategic AI leader with 8+ years building video ML systems at scale. Delivered high-impact solutions driving engagement through advanced computer vision and recommendation algorithms. Proven team leadership aligning technical initiatives with organizational objectives.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40% video engagement boost, next-gen content understanding, recommendation systems serving millions.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Built &amp; scaled video AI platforms, petabyte-scale processing, 99.9% uptime, millions of users.</w:t>
      </w:r>
    </w:p>
    <w:p>
      <w:pPr>
        <w:pStyle w:val="ListBullet"/>
        <w:spacing w:before="120" w:after="120" w:line="240" w:lineRule="auto"/>
      </w:pPr>
      <w:r>
        <w:rPr>
          <w:rFonts w:ascii="Calibri" w:hAnsi="Calibri"/>
          <w:b w:val="0"/>
          <w:i w:val="0"/>
          <w:sz w:val="22"/>
        </w:rPr>
        <w:t>Led 15+ eng/data scientists, strategic video AI roadmaps, aligned with business growth, $2.5M funding secured.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EXPERIENCE</w:t>
            </w:r>
          </w:p>
        </w:tc>
      </w:tr>
    </w:tbl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DIRECTV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LOS ANGELES, CA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Principal Data Scientist &amp; Technical Lead, Video Analytics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Dec 2021 - Present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Strategic vision &amp; execution for streaming platform video intelligence, 3M+ subscribers, ML initiatives with executives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Video content platform, 36% engagement increase, semantic analysis + behavior patterns, personalized recs.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Computer vision auto-tagging system, 85% manual effort reduction, 40% content discovery improvement.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Video quality assessment models, 40% streaming issues reduction, increased retention on underperforming devices.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Cross-functional partnerships (Product, UX, Content), next-gen video roadmap, secured $2.5M funding.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Landmark Health LLC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Huntington Beach, CA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Senior Data Scientist, Machine Learning Engineering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Jul 2019 - Dec 2021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Led 5-person DS team, ML solutions for predictive analytics, computer vision across healthcare platforms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Scalable video AI framework, 40% assessment time reduction, 25% diagnostic accuracy improvement.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Real-time video processing pipeline, patient monitoring, 30% adverse events reduction, early alerts.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MLOps practices implementation, 60% model deployment time reduction, improved distributed monitoring.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Junior DS/eng mentorship, structured learning paths, 30% project delivery improvement.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Capital Blue Cross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Harrisburg, PA</w:t>
      </w:r>
    </w:p>
    <w:p>
      <w:pPr>
        <w:tabs>
          <w:tab w:pos="10080" w:val="right"/>
        </w:tabs>
        <w:spacing w:before="0" w:after="60" w:line="240" w:lineRule="auto"/>
      </w:pPr>
      <w:r>
        <w:rPr>
          <w:rFonts w:ascii="Calibri" w:hAnsi="Calibri"/>
          <w:b w:val="0"/>
          <w:i/>
          <w:color w:val="4472C4"/>
          <w:sz w:val="22"/>
        </w:rPr>
        <w:t>Senior Business Consultant, Data Science</w:t>
      </w:r>
      <w:r>
        <w:tab/>
      </w:r>
      <w:r>
        <w:rPr>
          <w:rFonts w:ascii="Calibri" w:hAnsi="Calibri"/>
          <w:b w:val="0"/>
          <w:i/>
          <w:color w:val="4472C4"/>
          <w:sz w:val="22"/>
        </w:rPr>
        <w:t>Apr 2017 - Jul 2019</w:t>
      </w:r>
    </w:p>
    <w:p>
      <w:pPr>
        <w:spacing w:before="120" w:after="60" w:line="240" w:lineRule="auto"/>
      </w:pPr>
      <w:r>
        <w:rPr>
          <w:rFonts w:ascii="Calibri" w:hAnsi="Calibri"/>
          <w:b/>
          <w:i w:val="0"/>
          <w:sz w:val="22"/>
        </w:rPr>
        <w:t>Enterprise data initiatives, ML models for healthcare decision support, executive advisory role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Video analytics for telehealth, 25% provider efficiency increase, automated notes + interaction analysis.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ML pipeline for member engagement, 35% digital platform adoption increase, personalized comms.</w:t>
      </w:r>
    </w:p>
    <w:p>
      <w:pPr>
        <w:pStyle w:val="ListBullet"/>
        <w:spacing w:before="0" w:after="0" w:line="240" w:lineRule="auto"/>
      </w:pPr>
      <w:r>
        <w:rPr>
          <w:rFonts w:ascii="Calibri" w:hAnsi="Calibri"/>
          <w:b w:val="0"/>
          <w:i w:val="0"/>
          <w:sz w:val="22"/>
        </w:rPr>
        <w:t>Data science CoE with executive team, governance frameworks, ML standards across enterprise.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EDUCATION</w:t>
            </w:r>
          </w:p>
        </w:tc>
      </w:tr>
    </w:tbl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MS in Artificial Intelligence - Johns Hopkins University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2018-2023</w:t>
      </w:r>
    </w:p>
    <w:p>
      <w:pPr>
        <w:spacing w:before="0" w:after="60" w:line="240" w:lineRule="auto"/>
      </w:pPr>
      <w:r>
        <w:rPr>
          <w:rFonts w:ascii="Calibri" w:hAnsi="Calibri"/>
          <w:b w:val="0"/>
          <w:i w:val="0"/>
          <w:sz w:val="22"/>
        </w:rPr>
        <w:t>Computer Vision &amp; Deep Learning specialization, video understanding research, completed while working full-time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MS in Finance - University of Maryland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2012-2014</w:t>
      </w:r>
    </w:p>
    <w:p>
      <w:pPr>
        <w:tabs>
          <w:tab w:pos="10080" w:val="right"/>
        </w:tabs>
        <w:spacing w:before="120" w:after="0" w:line="240" w:lineRule="auto"/>
      </w:pPr>
      <w:r>
        <w:rPr>
          <w:rFonts w:ascii="Calibri" w:hAnsi="Calibri"/>
          <w:b/>
          <w:i w:val="0"/>
          <w:color w:val="2B579A"/>
          <w:sz w:val="22"/>
        </w:rPr>
        <w:t>BS in Finance - University of Nottingham, China Campus</w:t>
      </w:r>
      <w:r>
        <w:tab/>
      </w:r>
      <w:r>
        <w:rPr>
          <w:rFonts w:ascii="Calibri" w:hAnsi="Calibri"/>
          <w:b/>
          <w:i w:val="0"/>
          <w:color w:val="2B579A"/>
          <w:sz w:val="22"/>
        </w:rPr>
        <w:t>2008-2012</w:t>
      </w:r>
    </w:p>
    <w:p>
      <w:pPr>
        <w:spacing w:before="0" w:after="60" w:line="240" w:lineRule="auto"/>
      </w:pPr>
      <w:r>
        <w:rPr>
          <w:rFonts w:ascii="Calibri" w:hAnsi="Calibri"/>
          <w:b w:val="0"/>
          <w:i w:val="0"/>
          <w:sz w:val="22"/>
        </w:rPr>
        <w:t>GPA 4.0/4.0, First Class Honours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368"/>
      </w:tblGrid>
      <w:tr>
        <w:tc>
          <w:tcPr>
            <w:tcW w:type="dxa" w:w="10368"/>
            <w:tcBorders>
              <w:bottom w:val="single" w:sz="4" w:space="0" w:color="2B579A"/>
            </w:tcBorders>
            <w:shd w:fill="EAF1FA" w:val="clear"/>
          </w:tcPr>
          <w:p>
            <w:pPr>
              <w:spacing w:before="40" w:after="40" w:line="240" w:lineRule="auto"/>
              <w:jc w:val="left"/>
            </w:pPr>
            <w:r>
              <w:rPr>
                <w:rFonts w:ascii="Calibri" w:hAnsi="Calibri"/>
                <w:b/>
                <w:i w:val="0"/>
                <w:color w:val="2B579A"/>
                <w:sz w:val="28"/>
              </w:rPr>
              <w:t>SKILLS</w:t>
            </w:r>
          </w:p>
        </w:tc>
      </w:tr>
    </w:tbl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>Technical: ML, Computer Vision, Deep Learning, Recommendation Systems, Video Analytics, Content Understanding, Large-scale ML</w:t>
      </w:r>
    </w:p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>Leadership: Team Management, Strategic Planning, Cross-functional Collaboration, Executive Communication, Technical Roadmapping</w:t>
      </w:r>
    </w:p>
    <w:p>
      <w:pPr>
        <w:spacing w:before="120" w:after="60" w:line="240" w:lineRule="auto"/>
      </w:pPr>
      <w:r>
        <w:rPr>
          <w:rFonts w:ascii="Calibri" w:hAnsi="Calibri"/>
          <w:b w:val="0"/>
          <w:i w:val="0"/>
          <w:sz w:val="22"/>
        </w:rPr>
        <w:t>Platforms &amp; Tools: PyTorch, TensorFlow, OpenCV, AWS, Azure, Kubernetes, MLflow, Spark, Databricks, SQL, Python</w:t>
      </w:r>
    </w:p>
    <w:sectPr w:rsidR="00FC693F" w:rsidRPr="0006063C" w:rsidSect="00034616">
      <w:pgSz w:w="12240" w:h="15840"/>
      <w:pgMar w:top="720" w:right="936" w:bottom="432" w:left="93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