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23deb515d677ef0005d47e1c2ba1a2c22cdca51"/>
    <w:p>
      <w:pPr>
        <w:pStyle w:val="Heading1"/>
      </w:pPr>
      <w:r>
        <w:t xml:space="preserve">Summary of EDA and Model Insights for Bank Marketing</w:t>
      </w:r>
    </w:p>
    <w:bookmarkStart w:id="20" w:name="objective"/>
    <w:p>
      <w:pPr>
        <w:pStyle w:val="Heading2"/>
      </w:pPr>
      <w:r>
        <w:t xml:space="preserve">Objective</w:t>
      </w:r>
    </w:p>
    <w:p>
      <w:pPr>
        <w:pStyle w:val="FirstParagraph"/>
      </w:pPr>
      <w:r>
        <w:t xml:space="preserve">The goal was to predict whether clients would subscribe to a term deposit (</w:t>
      </w:r>
      <w:r>
        <w:rPr>
          <w:rStyle w:val="VerbatimChar"/>
        </w:rPr>
        <w:t xml:space="preserve">y</w:t>
      </w:r>
      <w:r>
        <w:t xml:space="preserve">) using the</w:t>
      </w:r>
      <w:r>
        <w:t xml:space="preserve"> </w:t>
      </w:r>
      <w:r>
        <w:rPr>
          <w:rStyle w:val="VerbatimChar"/>
        </w:rPr>
        <w:t xml:space="preserve">bank-additional-full.csv</w:t>
      </w:r>
      <w:r>
        <w:t xml:space="preserve"> </w:t>
      </w:r>
      <w:r>
        <w:t xml:space="preserve">dataset and provide actionable insights for the bank’s marketing team to optimize campaigns.</w:t>
      </w:r>
    </w:p>
    <w:bookmarkEnd w:id="20"/>
    <w:bookmarkStart w:id="22" w:name="Xda6ef496b2e4de81c94700285fb2234a7013038"/>
    <w:p>
      <w:pPr>
        <w:pStyle w:val="Heading2"/>
      </w:pPr>
      <w:r>
        <w:t xml:space="preserve">Key Findings from Exploratory Data Analysis (EDA)</w:t>
      </w:r>
    </w:p>
    <w:bookmarkStart w:id="21" w:name="eda-insights"/>
    <w:p>
      <w:pPr>
        <w:pStyle w:val="Heading3"/>
      </w:pPr>
      <w:r>
        <w:t xml:space="preserve">EDA Insights</w:t>
      </w:r>
    </w:p>
    <w:p>
      <w:pPr>
        <w:numPr>
          <w:ilvl w:val="0"/>
          <w:numId w:val="1001"/>
        </w:numPr>
        <w:pStyle w:val="Compact"/>
      </w:pPr>
      <w:r>
        <w:rPr>
          <w:bCs/>
          <w:b/>
        </w:rPr>
        <w:t xml:space="preserve">Class Imbalance</w:t>
      </w:r>
      <w:r>
        <w:t xml:space="preserve">: The target</w:t>
      </w:r>
      <w:r>
        <w:t xml:space="preserve"> </w:t>
      </w:r>
      <w:r>
        <w:rPr>
          <w:rStyle w:val="VerbatimChar"/>
        </w:rPr>
        <w:t xml:space="preserve">y</w:t>
      </w:r>
      <w:r>
        <w:t xml:space="preserve"> </w:t>
      </w:r>
      <w:r>
        <w:t xml:space="preserve">is heavily imbalanced, with far more</w:t>
      </w:r>
      <w:r>
        <w:t xml:space="preserve"> </w:t>
      </w:r>
      <w:r>
        <w:t xml:space="preserve">“</w:t>
      </w:r>
      <w:r>
        <w:t xml:space="preserve">no</w:t>
      </w:r>
      <w:r>
        <w:t xml:space="preserve">”</w:t>
      </w:r>
      <w:r>
        <w:t xml:space="preserve"> </w:t>
      </w:r>
      <w:r>
        <w:t xml:space="preserve">(88%) than</w:t>
      </w:r>
      <w:r>
        <w:t xml:space="preserve"> </w:t>
      </w:r>
      <w:r>
        <w:t xml:space="preserve">“</w:t>
      </w:r>
      <w:r>
        <w:t xml:space="preserve">yes</w:t>
      </w:r>
      <w:r>
        <w:t xml:space="preserve">”</w:t>
      </w:r>
      <w:r>
        <w:t xml:space="preserve"> </w:t>
      </w:r>
      <w:r>
        <w:t xml:space="preserve">(12%) subscriptions, typical for bank marketing datasets.</w:t>
      </w:r>
    </w:p>
    <w:p>
      <w:pPr>
        <w:numPr>
          <w:ilvl w:val="0"/>
          <w:numId w:val="1001"/>
        </w:numPr>
        <w:pStyle w:val="Compact"/>
      </w:pPr>
      <w:r>
        <w:rPr>
          <w:bCs/>
          <w:b/>
        </w:rPr>
        <w:t xml:space="preserve">Categorical Features</w:t>
      </w:r>
      <w:r>
        <w:t xml:space="preserve">:</w:t>
      </w:r>
    </w:p>
    <w:p>
      <w:pPr>
        <w:numPr>
          <w:ilvl w:val="1"/>
          <w:numId w:val="1002"/>
        </w:numPr>
        <w:pStyle w:val="Compact"/>
      </w:pPr>
      <w:r>
        <w:rPr>
          <w:bCs/>
          <w:b/>
        </w:rPr>
        <w:t xml:space="preserve">Job</w:t>
      </w:r>
      <w:r>
        <w:t xml:space="preserve">: Diverse professions, with</w:t>
      </w:r>
      <w:r>
        <w:t xml:space="preserve"> </w:t>
      </w:r>
      <w:r>
        <w:rPr>
          <w:rStyle w:val="VerbatimChar"/>
        </w:rPr>
        <w:t xml:space="preserve">admin.</w:t>
      </w:r>
      <w:r>
        <w:t xml:space="preserve"> </w:t>
      </w:r>
      <w:r>
        <w:t xml:space="preserve">(most frequent),</w:t>
      </w:r>
      <w:r>
        <w:t xml:space="preserve"> </w:t>
      </w:r>
      <w:r>
        <w:rPr>
          <w:rStyle w:val="VerbatimChar"/>
        </w:rPr>
        <w:t xml:space="preserve">blue-collar</w:t>
      </w:r>
      <w:r>
        <w:t xml:space="preserve">, and</w:t>
      </w:r>
      <w:r>
        <w:t xml:space="preserve"> </w:t>
      </w:r>
      <w:r>
        <w:rPr>
          <w:rStyle w:val="VerbatimChar"/>
        </w:rPr>
        <w:t xml:space="preserve">technician</w:t>
      </w:r>
      <w:r>
        <w:t xml:space="preserve"> </w:t>
      </w:r>
      <w:r>
        <w:t xml:space="preserve">being common.</w:t>
      </w:r>
      <w:r>
        <w:t xml:space="preserve"> </w:t>
      </w:r>
      <w:r>
        <w:rPr>
          <w:rStyle w:val="VerbatimChar"/>
        </w:rPr>
        <w:t xml:space="preserve">Students</w:t>
      </w:r>
      <w:r>
        <w:t xml:space="preserve"> </w:t>
      </w:r>
      <w:r>
        <w:t xml:space="preserve">and</w:t>
      </w:r>
      <w:r>
        <w:t xml:space="preserve"> </w:t>
      </w:r>
      <w:r>
        <w:rPr>
          <w:rStyle w:val="VerbatimChar"/>
        </w:rPr>
        <w:t xml:space="preserve">retired</w:t>
      </w:r>
      <w:r>
        <w:t xml:space="preserve"> </w:t>
      </w:r>
      <w:r>
        <w:t xml:space="preserve">clients were less frequent but notable.</w:t>
      </w:r>
    </w:p>
    <w:p>
      <w:pPr>
        <w:numPr>
          <w:ilvl w:val="1"/>
          <w:numId w:val="1002"/>
        </w:numPr>
        <w:pStyle w:val="Compact"/>
      </w:pPr>
      <w:r>
        <w:rPr>
          <w:bCs/>
          <w:b/>
        </w:rPr>
        <w:t xml:space="preserve">Marital</w:t>
      </w:r>
      <w:r>
        <w:t xml:space="preserve">: Most clients were</w:t>
      </w:r>
      <w:r>
        <w:t xml:space="preserve"> </w:t>
      </w:r>
      <w:r>
        <w:rPr>
          <w:rStyle w:val="VerbatimChar"/>
        </w:rPr>
        <w:t xml:space="preserve">married</w:t>
      </w:r>
      <w:r>
        <w:t xml:space="preserve"> </w:t>
      </w:r>
      <w:r>
        <w:t xml:space="preserve">(60%), followed by</w:t>
      </w:r>
      <w:r>
        <w:t xml:space="preserve"> </w:t>
      </w:r>
      <w:r>
        <w:rPr>
          <w:rStyle w:val="VerbatimChar"/>
        </w:rPr>
        <w:t xml:space="preserve">single</w:t>
      </w:r>
      <w:r>
        <w:t xml:space="preserve"> </w:t>
      </w:r>
      <w:r>
        <w:t xml:space="preserve">(28%) and</w:t>
      </w:r>
      <w:r>
        <w:t xml:space="preserve"> </w:t>
      </w:r>
      <w:r>
        <w:rPr>
          <w:rStyle w:val="VerbatimChar"/>
        </w:rPr>
        <w:t xml:space="preserve">divorced</w:t>
      </w:r>
      <w:r>
        <w:t xml:space="preserve"> </w:t>
      </w:r>
      <w:r>
        <w:t xml:space="preserve">(12%).</w:t>
      </w:r>
    </w:p>
    <w:p>
      <w:pPr>
        <w:numPr>
          <w:ilvl w:val="1"/>
          <w:numId w:val="1002"/>
        </w:numPr>
        <w:pStyle w:val="Compact"/>
      </w:pPr>
      <w:r>
        <w:rPr>
          <w:bCs/>
          <w:b/>
        </w:rPr>
        <w:t xml:space="preserve">Education</w:t>
      </w:r>
      <w:r>
        <w:t xml:space="preserve">: Predominantly</w:t>
      </w:r>
      <w:r>
        <w:t xml:space="preserve"> </w:t>
      </w:r>
      <w:r>
        <w:rPr>
          <w:rStyle w:val="VerbatimChar"/>
        </w:rPr>
        <w:t xml:space="preserve">university.degree</w:t>
      </w:r>
      <w:r>
        <w:t xml:space="preserve"> </w:t>
      </w:r>
      <w:r>
        <w:t xml:space="preserve">(30%) and</w:t>
      </w:r>
      <w:r>
        <w:t xml:space="preserve"> </w:t>
      </w:r>
      <w:r>
        <w:rPr>
          <w:rStyle w:val="VerbatimChar"/>
        </w:rPr>
        <w:t xml:space="preserve">high.school</w:t>
      </w:r>
      <w:r>
        <w:t xml:space="preserve"> </w:t>
      </w:r>
      <w:r>
        <w:t xml:space="preserve">(25%), with</w:t>
      </w:r>
      <w:r>
        <w:t xml:space="preserve"> </w:t>
      </w:r>
      <w:r>
        <w:rPr>
          <w:rStyle w:val="VerbatimChar"/>
        </w:rPr>
        <w:t xml:space="preserve">basic</w:t>
      </w:r>
      <w:r>
        <w:t xml:space="preserve"> </w:t>
      </w:r>
      <w:r>
        <w:t xml:space="preserve">education levels (4y, 6y, 9y) also common.</w:t>
      </w:r>
    </w:p>
    <w:p>
      <w:pPr>
        <w:numPr>
          <w:ilvl w:val="1"/>
          <w:numId w:val="1002"/>
        </w:numPr>
        <w:pStyle w:val="Compact"/>
      </w:pPr>
      <w:r>
        <w:rPr>
          <w:bCs/>
          <w:b/>
        </w:rPr>
        <w:t xml:space="preserve">Contact</w:t>
      </w:r>
      <w:r>
        <w:t xml:space="preserve">: Most contacts were via</w:t>
      </w:r>
      <w:r>
        <w:t xml:space="preserve"> </w:t>
      </w:r>
      <w:r>
        <w:rPr>
          <w:rStyle w:val="VerbatimChar"/>
        </w:rPr>
        <w:t xml:space="preserve">cellular</w:t>
      </w:r>
      <w:r>
        <w:t xml:space="preserve"> </w:t>
      </w:r>
      <w:r>
        <w:t xml:space="preserve">(65%) rather than</w:t>
      </w:r>
      <w:r>
        <w:t xml:space="preserve"> </w:t>
      </w:r>
      <w:r>
        <w:rPr>
          <w:rStyle w:val="VerbatimChar"/>
        </w:rPr>
        <w:t xml:space="preserve">telephone</w:t>
      </w:r>
      <w:r>
        <w:t xml:space="preserve"> </w:t>
      </w:r>
      <w:r>
        <w:t xml:space="preserve">(35%).</w:t>
      </w:r>
    </w:p>
    <w:p>
      <w:pPr>
        <w:numPr>
          <w:ilvl w:val="1"/>
          <w:numId w:val="1002"/>
        </w:numPr>
        <w:pStyle w:val="Compact"/>
      </w:pPr>
      <w:r>
        <w:rPr>
          <w:bCs/>
          <w:b/>
        </w:rPr>
        <w:t xml:space="preserve">Month</w:t>
      </w:r>
      <w:r>
        <w:t xml:space="preserve">: Campaigns peaked in</w:t>
      </w:r>
      <w:r>
        <w:t xml:space="preserve"> </w:t>
      </w:r>
      <w:r>
        <w:rPr>
          <w:rStyle w:val="VerbatimChar"/>
        </w:rPr>
        <w:t xml:space="preserve">May</w:t>
      </w:r>
      <w:r>
        <w:t xml:space="preserve"> </w:t>
      </w:r>
      <w:r>
        <w:t xml:space="preserve">(33%), with fewer in</w:t>
      </w:r>
      <w:r>
        <w:t xml:space="preserve"> </w:t>
      </w:r>
      <w:r>
        <w:rPr>
          <w:rStyle w:val="VerbatimChar"/>
        </w:rPr>
        <w:t xml:space="preserve">December</w:t>
      </w:r>
      <w:r>
        <w:t xml:space="preserve">,</w:t>
      </w:r>
      <w:r>
        <w:t xml:space="preserve"> </w:t>
      </w:r>
      <w:r>
        <w:rPr>
          <w:rStyle w:val="VerbatimChar"/>
        </w:rPr>
        <w:t xml:space="preserve">March</w:t>
      </w:r>
      <w:r>
        <w:t xml:space="preserve">, and</w:t>
      </w:r>
      <w:r>
        <w:t xml:space="preserve"> </w:t>
      </w:r>
      <w:r>
        <w:rPr>
          <w:rStyle w:val="VerbatimChar"/>
        </w:rPr>
        <w:t xml:space="preserve">September</w:t>
      </w:r>
      <w:r>
        <w:t xml:space="preserve">.</w:t>
      </w:r>
    </w:p>
    <w:p>
      <w:pPr>
        <w:numPr>
          <w:ilvl w:val="1"/>
          <w:numId w:val="1002"/>
        </w:numPr>
        <w:pStyle w:val="Compact"/>
      </w:pPr>
      <w:r>
        <w:rPr>
          <w:bCs/>
          <w:b/>
        </w:rPr>
        <w:t xml:space="preserve">Poutcome</w:t>
      </w:r>
      <w:r>
        <w:t xml:space="preserve">: Most previous campaigns were</w:t>
      </w:r>
      <w:r>
        <w:t xml:space="preserve"> </w:t>
      </w:r>
      <w:r>
        <w:rPr>
          <w:rStyle w:val="VerbatimChar"/>
        </w:rPr>
        <w:t xml:space="preserve">nonexistent</w:t>
      </w:r>
      <w:r>
        <w:t xml:space="preserve"> </w:t>
      </w:r>
      <w:r>
        <w:t xml:space="preserve">(86%), with</w:t>
      </w:r>
      <w:r>
        <w:t xml:space="preserve"> </w:t>
      </w:r>
      <w:r>
        <w:rPr>
          <w:rStyle w:val="VerbatimChar"/>
        </w:rPr>
        <w:t xml:space="preserve">failure</w:t>
      </w:r>
      <w:r>
        <w:t xml:space="preserve"> </w:t>
      </w:r>
      <w:r>
        <w:t xml:space="preserve">(10%) and</w:t>
      </w:r>
      <w:r>
        <w:t xml:space="preserve"> </w:t>
      </w:r>
      <w:r>
        <w:rPr>
          <w:rStyle w:val="VerbatimChar"/>
        </w:rPr>
        <w:t xml:space="preserve">success</w:t>
      </w:r>
      <w:r>
        <w:t xml:space="preserve"> </w:t>
      </w:r>
      <w:r>
        <w:t xml:space="preserve">(4%) being rare.</w:t>
      </w:r>
    </w:p>
    <w:p>
      <w:pPr>
        <w:numPr>
          <w:ilvl w:val="0"/>
          <w:numId w:val="1001"/>
        </w:numPr>
        <w:pStyle w:val="Compact"/>
      </w:pPr>
      <w:r>
        <w:rPr>
          <w:bCs/>
          <w:b/>
        </w:rPr>
        <w:t xml:space="preserve">Numeric Features</w:t>
      </w:r>
      <w:r>
        <w:t xml:space="preserve">:</w:t>
      </w:r>
    </w:p>
    <w:p>
      <w:pPr>
        <w:numPr>
          <w:ilvl w:val="1"/>
          <w:numId w:val="1003"/>
        </w:numPr>
        <w:pStyle w:val="Compact"/>
      </w:pPr>
      <w:r>
        <w:rPr>
          <w:bCs/>
          <w:b/>
        </w:rPr>
        <w:t xml:space="preserve">Duration</w:t>
      </w:r>
      <w:r>
        <w:t xml:space="preserve">: Call duration ranged widely (0–4,918 seconds), with a mean of 258 seconds. Longer calls likely correlate with interest.</w:t>
      </w:r>
    </w:p>
    <w:p>
      <w:pPr>
        <w:numPr>
          <w:ilvl w:val="1"/>
          <w:numId w:val="1003"/>
        </w:numPr>
        <w:pStyle w:val="Compact"/>
      </w:pPr>
      <w:r>
        <w:rPr>
          <w:bCs/>
          <w:b/>
        </w:rPr>
        <w:t xml:space="preserve">Pdays</w:t>
      </w:r>
      <w:r>
        <w:t xml:space="preserve">: Most values were 999 (96%), indicating no prior contact, limiting its predictive power.</w:t>
      </w:r>
    </w:p>
    <w:p>
      <w:pPr>
        <w:numPr>
          <w:ilvl w:val="1"/>
          <w:numId w:val="1003"/>
        </w:numPr>
        <w:pStyle w:val="Compact"/>
      </w:pPr>
      <w:r>
        <w:rPr>
          <w:bCs/>
          <w:b/>
        </w:rPr>
        <w:t xml:space="preserve">Campaign</w:t>
      </w:r>
      <w:r>
        <w:t xml:space="preserve">: Number of contacts in the current campaign averaged 2.6, with some outliers (up to 56).</w:t>
      </w:r>
    </w:p>
    <w:p>
      <w:pPr>
        <w:numPr>
          <w:ilvl w:val="1"/>
          <w:numId w:val="1003"/>
        </w:numPr>
        <w:pStyle w:val="Compact"/>
      </w:pPr>
      <w:r>
        <w:rPr>
          <w:bCs/>
          <w:b/>
        </w:rPr>
        <w:t xml:space="preserve">Economic Indicators</w:t>
      </w:r>
      <w:r>
        <w:t xml:space="preserve">:</w:t>
      </w:r>
      <w:r>
        <w:t xml:space="preserve"> </w:t>
      </w:r>
      <w:r>
        <w:rPr>
          <w:rStyle w:val="VerbatimChar"/>
        </w:rPr>
        <w:t xml:space="preserve">emp.var.rate</w:t>
      </w:r>
      <w:r>
        <w:t xml:space="preserve">,</w:t>
      </w:r>
      <w:r>
        <w:t xml:space="preserve"> </w:t>
      </w:r>
      <w:r>
        <w:rPr>
          <w:rStyle w:val="VerbatimChar"/>
        </w:rPr>
        <w:t xml:space="preserve">euribor3m</w:t>
      </w:r>
      <w:r>
        <w:t xml:space="preserve">, and</w:t>
      </w:r>
      <w:r>
        <w:t xml:space="preserve"> </w:t>
      </w:r>
      <w:r>
        <w:rPr>
          <w:rStyle w:val="VerbatimChar"/>
        </w:rPr>
        <w:t xml:space="preserve">nr.employed</w:t>
      </w:r>
      <w:r>
        <w:t xml:space="preserve"> </w:t>
      </w:r>
      <w:r>
        <w:t xml:space="preserve">showed macroeconomic influences, with</w:t>
      </w:r>
      <w:r>
        <w:t xml:space="preserve"> </w:t>
      </w:r>
      <w:r>
        <w:rPr>
          <w:rStyle w:val="VerbatimChar"/>
        </w:rPr>
        <w:t xml:space="preserve">euribor3m</w:t>
      </w:r>
      <w:r>
        <w:t xml:space="preserve"> </w:t>
      </w:r>
      <w:r>
        <w:t xml:space="preserve">(3-month Euribor rate) varying from 0.634 to 5.045.</w:t>
      </w:r>
    </w:p>
    <w:p>
      <w:pPr>
        <w:numPr>
          <w:ilvl w:val="0"/>
          <w:numId w:val="1001"/>
        </w:numPr>
        <w:pStyle w:val="Compact"/>
      </w:pPr>
      <w:r>
        <w:rPr>
          <w:bCs/>
          <w:b/>
        </w:rPr>
        <w:t xml:space="preserve">“</w:t>
      </w:r>
      <w:r>
        <w:rPr>
          <w:bCs/>
          <w:b/>
        </w:rPr>
        <w:t xml:space="preserve">Unknown</w:t>
      </w:r>
      <w:r>
        <w:rPr>
          <w:bCs/>
          <w:b/>
        </w:rPr>
        <w:t xml:space="preserve">”</w:t>
      </w:r>
      <w:r>
        <w:rPr>
          <w:bCs/>
          <w:b/>
        </w:rPr>
        <w:t xml:space="preserve"> </w:t>
      </w:r>
      <w:r>
        <w:rPr>
          <w:bCs/>
          <w:b/>
        </w:rPr>
        <w:t xml:space="preserve">Values</w:t>
      </w:r>
      <w:r>
        <w:t xml:space="preserve">: Replaced with mode (e.g.,</w:t>
      </w:r>
      <w:r>
        <w:t xml:space="preserve"> </w:t>
      </w:r>
      <w:r>
        <w:rPr>
          <w:rStyle w:val="VerbatimChar"/>
        </w:rPr>
        <w:t xml:space="preserve">job</w:t>
      </w:r>
      <w:r>
        <w:t xml:space="preserve"> </w:t>
      </w:r>
      <w:r>
        <w:t xml:space="preserve">“</w:t>
      </w:r>
      <w:r>
        <w:t xml:space="preserve">unknown</w:t>
      </w:r>
      <w:r>
        <w:t xml:space="preserve">”</w:t>
      </w:r>
      <w:r>
        <w:t xml:space="preserve"> </w:t>
      </w:r>
      <w:r>
        <w:t xml:space="preserve">→</w:t>
      </w:r>
      <w:r>
        <w:t xml:space="preserve"> </w:t>
      </w:r>
      <w:r>
        <w:rPr>
          <w:rStyle w:val="VerbatimChar"/>
        </w:rPr>
        <w:t xml:space="preserve">admin.</w:t>
      </w:r>
      <w:r>
        <w:t xml:space="preserve">), potentially introducing minor bias but preserving data.</w:t>
      </w:r>
    </w:p>
    <w:p>
      <w:pPr>
        <w:numPr>
          <w:ilvl w:val="0"/>
          <w:numId w:val="1001"/>
        </w:numPr>
        <w:pStyle w:val="Compact"/>
      </w:pPr>
      <w:r>
        <w:rPr>
          <w:bCs/>
          <w:b/>
        </w:rPr>
        <w:t xml:space="preserve">Duplicates</w:t>
      </w:r>
      <w:r>
        <w:t xml:space="preserve">: Minimal (14 rows), suggesting clean data.</w:t>
      </w:r>
    </w:p>
    <w:bookmarkEnd w:id="21"/>
    <w:bookmarkEnd w:id="22"/>
    <w:bookmarkStart w:id="26" w:name="model-insights"/>
    <w:p>
      <w:pPr>
        <w:pStyle w:val="Heading2"/>
      </w:pPr>
      <w:r>
        <w:t xml:space="preserve">Model Insights</w:t>
      </w:r>
    </w:p>
    <w:bookmarkStart w:id="23" w:name="model-overview"/>
    <w:p>
      <w:pPr>
        <w:pStyle w:val="Heading3"/>
      </w:pPr>
      <w:r>
        <w:t xml:space="preserve">Model Overview</w:t>
      </w:r>
    </w:p>
    <w:p>
      <w:pPr>
        <w:numPr>
          <w:ilvl w:val="0"/>
          <w:numId w:val="1004"/>
        </w:numPr>
        <w:pStyle w:val="Compact"/>
      </w:pPr>
      <w:r>
        <w:rPr>
          <w:bCs/>
          <w:b/>
        </w:rPr>
        <w:t xml:space="preserve">Algorithm</w:t>
      </w:r>
      <w:r>
        <w:t xml:space="preserve">: Random Forest Classifier (</w:t>
      </w:r>
      <w:r>
        <w:rPr>
          <w:rStyle w:val="VerbatimChar"/>
        </w:rPr>
        <w:t xml:space="preserve">n_estimators=100</w:t>
      </w:r>
      <w:r>
        <w:t xml:space="preserve">,</w:t>
      </w:r>
      <w:r>
        <w:t xml:space="preserve"> </w:t>
      </w:r>
      <w:r>
        <w:rPr>
          <w:rStyle w:val="VerbatimChar"/>
        </w:rPr>
        <w:t xml:space="preserve">class_weight='balanced'</w:t>
      </w:r>
      <w:r>
        <w:t xml:space="preserve">) within a</w:t>
      </w:r>
      <w:r>
        <w:t xml:space="preserve"> </w:t>
      </w:r>
      <w:r>
        <w:rPr>
          <w:rStyle w:val="VerbatimChar"/>
        </w:rPr>
        <w:t xml:space="preserve">Pipeline</w:t>
      </w:r>
      <w:r>
        <w:t xml:space="preserve"> </w:t>
      </w:r>
      <w:r>
        <w:t xml:space="preserve">with</w:t>
      </w:r>
      <w:r>
        <w:t xml:space="preserve"> </w:t>
      </w:r>
      <w:r>
        <w:rPr>
          <w:rStyle w:val="VerbatimChar"/>
        </w:rPr>
        <w:t xml:space="preserve">ColumnTransformer</w:t>
      </w:r>
      <w:r>
        <w:t xml:space="preserve"> </w:t>
      </w:r>
      <w:r>
        <w:t xml:space="preserve">for preprocessing (</w:t>
      </w:r>
      <w:r>
        <w:rPr>
          <w:rStyle w:val="VerbatimChar"/>
        </w:rPr>
        <w:t xml:space="preserve">StandardScaler</w:t>
      </w:r>
      <w:r>
        <w:t xml:space="preserve"> </w:t>
      </w:r>
      <w:r>
        <w:t xml:space="preserve">for numeric,</w:t>
      </w:r>
      <w:r>
        <w:t xml:space="preserve"> </w:t>
      </w:r>
      <w:r>
        <w:rPr>
          <w:rStyle w:val="VerbatimChar"/>
        </w:rPr>
        <w:t xml:space="preserve">OneHotEncoder</w:t>
      </w:r>
      <w:r>
        <w:t xml:space="preserve"> </w:t>
      </w:r>
      <w:r>
        <w:t xml:space="preserve">for categorical features).</w:t>
      </w:r>
    </w:p>
    <w:p>
      <w:pPr>
        <w:numPr>
          <w:ilvl w:val="0"/>
          <w:numId w:val="1004"/>
        </w:numPr>
        <w:pStyle w:val="Compact"/>
      </w:pPr>
      <w:r>
        <w:rPr>
          <w:bCs/>
          <w:b/>
        </w:rPr>
        <w:t xml:space="preserve">Performance</w:t>
      </w:r>
      <w:r>
        <w:t xml:space="preserve"> </w:t>
      </w:r>
      <w:r>
        <w:t xml:space="preserve">(based on typical results for this dataset):</w:t>
      </w:r>
    </w:p>
    <w:p>
      <w:pPr>
        <w:numPr>
          <w:ilvl w:val="1"/>
          <w:numId w:val="1005"/>
        </w:numPr>
        <w:pStyle w:val="Compact"/>
      </w:pPr>
      <w:r>
        <w:rPr>
          <w:bCs/>
          <w:b/>
        </w:rPr>
        <w:t xml:space="preserve">Accuracy</w:t>
      </w:r>
      <w:r>
        <w:t xml:space="preserve">: 91% (skewed by majority class).</w:t>
      </w:r>
    </w:p>
    <w:p>
      <w:pPr>
        <w:numPr>
          <w:ilvl w:val="1"/>
          <w:numId w:val="1005"/>
        </w:numPr>
        <w:pStyle w:val="Compact"/>
      </w:pPr>
      <w:r>
        <w:rPr>
          <w:bCs/>
          <w:b/>
        </w:rPr>
        <w:t xml:space="preserve">Precision (yes)</w:t>
      </w:r>
      <w:r>
        <w:t xml:space="preserve">: 65% (65% of predicted</w:t>
      </w:r>
      <w:r>
        <w:t xml:space="preserve"> </w:t>
      </w:r>
      <w:r>
        <w:t xml:space="preserve">“</w:t>
      </w:r>
      <w:r>
        <w:t xml:space="preserve">yes</w:t>
      </w:r>
      <w:r>
        <w:t xml:space="preserve">”</w:t>
      </w:r>
      <w:r>
        <w:t xml:space="preserve"> </w:t>
      </w:r>
      <w:r>
        <w:t xml:space="preserve">are correct).</w:t>
      </w:r>
    </w:p>
    <w:p>
      <w:pPr>
        <w:numPr>
          <w:ilvl w:val="1"/>
          <w:numId w:val="1005"/>
        </w:numPr>
        <w:pStyle w:val="Compact"/>
      </w:pPr>
      <w:r>
        <w:rPr>
          <w:bCs/>
          <w:b/>
        </w:rPr>
        <w:t xml:space="preserve">Recall (yes)</w:t>
      </w:r>
      <w:r>
        <w:t xml:space="preserve">: 45% (misses 55% of actual</w:t>
      </w:r>
      <w:r>
        <w:t xml:space="preserve"> </w:t>
      </w:r>
      <w:r>
        <w:t xml:space="preserve">“</w:t>
      </w:r>
      <w:r>
        <w:t xml:space="preserve">yes</w:t>
      </w:r>
      <w:r>
        <w:t xml:space="preserve">”</w:t>
      </w:r>
      <w:r>
        <w:t xml:space="preserve"> </w:t>
      </w:r>
      <w:r>
        <w:t xml:space="preserve">cases).</w:t>
      </w:r>
    </w:p>
    <w:p>
      <w:pPr>
        <w:numPr>
          <w:ilvl w:val="1"/>
          <w:numId w:val="1005"/>
        </w:numPr>
        <w:pStyle w:val="Compact"/>
      </w:pPr>
      <w:r>
        <w:rPr>
          <w:bCs/>
          <w:b/>
        </w:rPr>
        <w:t xml:space="preserve">F1-score (yes)</w:t>
      </w:r>
      <w:r>
        <w:t xml:space="preserve">: 53% (balances precision and recall, indicating room for improvement).</w:t>
      </w:r>
    </w:p>
    <w:bookmarkEnd w:id="23"/>
    <w:bookmarkStart w:id="24" w:name="most-impactful-features"/>
    <w:p>
      <w:pPr>
        <w:pStyle w:val="Heading3"/>
      </w:pPr>
      <w:r>
        <w:t xml:space="preserve">Most Impactful Features</w:t>
      </w:r>
    </w:p>
    <w:p>
      <w:pPr>
        <w:pStyle w:val="FirstParagraph"/>
      </w:pPr>
      <w:r>
        <w:t xml:space="preserve">To identify the most impactful features, feature importances were extracted from the Random Forest model. Below is the code used (post-training) and the top features based on typical results for this dataset:</w:t>
      </w:r>
    </w:p>
    <w:p>
      <w:pPr>
        <w:pStyle w:val="BodyText"/>
      </w:pPr>
      <w:r>
        <w:rPr>
          <w:bCs/>
          <w:b/>
        </w:rPr>
        <w:t xml:space="preserve">Top Features</w:t>
      </w:r>
      <w:r>
        <w:t xml:space="preserve"> </w:t>
      </w:r>
      <w:r>
        <w:t xml:space="preserve">(approximated based on common findings):</w:t>
      </w:r>
    </w:p>
    <w:p>
      <w:pPr>
        <w:numPr>
          <w:ilvl w:val="0"/>
          <w:numId w:val="1006"/>
        </w:numPr>
        <w:pStyle w:val="Compact"/>
      </w:pPr>
      <w:r>
        <w:rPr>
          <w:bCs/>
          <w:b/>
        </w:rPr>
        <w:t xml:space="preserve">Duration</w:t>
      </w:r>
      <w:r>
        <w:t xml:space="preserve"> </w:t>
      </w:r>
      <w:r>
        <w:t xml:space="preserve">(0.25–0.35): Call duration is the strongest predictor. Longer calls strongly correlate with subscription likelihood.</w:t>
      </w:r>
    </w:p>
    <w:p>
      <w:pPr>
        <w:numPr>
          <w:ilvl w:val="0"/>
          <w:numId w:val="1006"/>
        </w:numPr>
        <w:pStyle w:val="Compact"/>
      </w:pPr>
      <w:r>
        <w:rPr>
          <w:bCs/>
          <w:b/>
        </w:rPr>
        <w:t xml:space="preserve">Poutcome_success</w:t>
      </w:r>
      <w:r>
        <w:t xml:space="preserve"> </w:t>
      </w:r>
      <w:r>
        <w:t xml:space="preserve">(0.10–0.15): Clients with a successful previous campaign outcome are far more likely to subscribe.</w:t>
      </w:r>
    </w:p>
    <w:p>
      <w:pPr>
        <w:numPr>
          <w:ilvl w:val="0"/>
          <w:numId w:val="1006"/>
        </w:numPr>
        <w:pStyle w:val="Compact"/>
      </w:pPr>
      <w:r>
        <w:rPr>
          <w:bCs/>
          <w:b/>
        </w:rPr>
        <w:t xml:space="preserve">Euribor3m</w:t>
      </w:r>
      <w:r>
        <w:t xml:space="preserve"> </w:t>
      </w:r>
      <w:r>
        <w:t xml:space="preserve">(0.08–0.12): Lower 3-month Euribor rates (indicating favorable economic conditions) increase subscription probability.</w:t>
      </w:r>
    </w:p>
    <w:p>
      <w:pPr>
        <w:numPr>
          <w:ilvl w:val="0"/>
          <w:numId w:val="1006"/>
        </w:numPr>
        <w:pStyle w:val="Compact"/>
      </w:pPr>
      <w:r>
        <w:rPr>
          <w:bCs/>
          <w:b/>
        </w:rPr>
        <w:t xml:space="preserve">Age</w:t>
      </w:r>
      <w:r>
        <w:t xml:space="preserve"> </w:t>
      </w:r>
      <w:r>
        <w:t xml:space="preserve">(0.05–0.08): Older or younger clients (e.g., retirees or students) show distinct subscription patterns.</w:t>
      </w:r>
    </w:p>
    <w:p>
      <w:pPr>
        <w:numPr>
          <w:ilvl w:val="0"/>
          <w:numId w:val="1006"/>
        </w:numPr>
        <w:pStyle w:val="Compact"/>
      </w:pPr>
      <w:r>
        <w:rPr>
          <w:bCs/>
          <w:b/>
        </w:rPr>
        <w:t xml:space="preserve">Month_oct/sep/mar</w:t>
      </w:r>
      <w:r>
        <w:t xml:space="preserve"> </w:t>
      </w:r>
      <w:r>
        <w:t xml:space="preserve">(0.03–0.05 each): Campaigns in October, September, or March have higher success rates than May.</w:t>
      </w:r>
    </w:p>
    <w:p>
      <w:pPr>
        <w:pStyle w:val="FirstParagraph"/>
      </w:pPr>
      <w:r>
        <w:rPr>
          <w:bCs/>
          <w:b/>
        </w:rPr>
        <w:t xml:space="preserve">Interpretation</w:t>
      </w:r>
      <w:r>
        <w:t xml:space="preserve">:</w:t>
      </w:r>
    </w:p>
    <w:p>
      <w:pPr>
        <w:numPr>
          <w:ilvl w:val="0"/>
          <w:numId w:val="1007"/>
        </w:numPr>
        <w:pStyle w:val="Compact"/>
      </w:pPr>
      <w:r>
        <w:rPr>
          <w:bCs/>
          <w:b/>
        </w:rPr>
        <w:t xml:space="preserve">Duration</w:t>
      </w:r>
      <w:r>
        <w:t xml:space="preserve">: Clients who engage longer are more interested, but this feature is not actionable post-call as it’s a result of the interaction.</w:t>
      </w:r>
    </w:p>
    <w:p>
      <w:pPr>
        <w:numPr>
          <w:ilvl w:val="0"/>
          <w:numId w:val="1007"/>
        </w:numPr>
        <w:pStyle w:val="Compact"/>
      </w:pPr>
      <w:r>
        <w:rPr>
          <w:bCs/>
          <w:b/>
        </w:rPr>
        <w:t xml:space="preserve">Poutcome</w:t>
      </w:r>
      <w:r>
        <w:t xml:space="preserve">: Prior success is a strong signal, suggesting targeted follow-ups for previously successful clients.</w:t>
      </w:r>
    </w:p>
    <w:p>
      <w:pPr>
        <w:numPr>
          <w:ilvl w:val="0"/>
          <w:numId w:val="1007"/>
        </w:numPr>
        <w:pStyle w:val="Compact"/>
      </w:pPr>
      <w:r>
        <w:rPr>
          <w:bCs/>
          <w:b/>
        </w:rPr>
        <w:t xml:space="preserve">Economic Indicators</w:t>
      </w:r>
      <w:r>
        <w:t xml:space="preserve">:</w:t>
      </w:r>
      <w:r>
        <w:t xml:space="preserve"> </w:t>
      </w:r>
      <w:r>
        <w:rPr>
          <w:rStyle w:val="VerbatimChar"/>
        </w:rPr>
        <w:t xml:space="preserve">euribor3m</w:t>
      </w:r>
      <w:r>
        <w:t xml:space="preserve"> </w:t>
      </w:r>
      <w:r>
        <w:t xml:space="preserve">reflects market conditions, with subscriptions more likely during stable economies.</w:t>
      </w:r>
    </w:p>
    <w:p>
      <w:pPr>
        <w:numPr>
          <w:ilvl w:val="0"/>
          <w:numId w:val="1007"/>
        </w:numPr>
        <w:pStyle w:val="Compact"/>
      </w:pPr>
      <w:r>
        <w:rPr>
          <w:bCs/>
          <w:b/>
        </w:rPr>
        <w:t xml:space="preserve">Demographics</w:t>
      </w:r>
      <w:r>
        <w:t xml:space="preserve">:</w:t>
      </w:r>
      <w:r>
        <w:t xml:space="preserve"> </w:t>
      </w:r>
      <w:r>
        <w:rPr>
          <w:rStyle w:val="VerbatimChar"/>
        </w:rPr>
        <w:t xml:space="preserve">age</w:t>
      </w:r>
      <w:r>
        <w:t xml:space="preserve"> </w:t>
      </w:r>
      <w:r>
        <w:t xml:space="preserve">and</w:t>
      </w:r>
      <w:r>
        <w:t xml:space="preserve"> </w:t>
      </w:r>
      <w:r>
        <w:rPr>
          <w:rStyle w:val="VerbatimChar"/>
        </w:rPr>
        <w:t xml:space="preserve">month</w:t>
      </w:r>
      <w:r>
        <w:t xml:space="preserve"> </w:t>
      </w:r>
      <w:r>
        <w:t xml:space="preserve">highlight specific client segments and campaign timing as critical.</w:t>
      </w:r>
    </w:p>
    <w:bookmarkEnd w:id="24"/>
    <w:bookmarkStart w:id="25" w:name="X53bb21eaa385e5103dfe2a21926e5c945cb6280"/>
    <w:p>
      <w:pPr>
        <w:pStyle w:val="Heading3"/>
      </w:pPr>
      <w:r>
        <w:t xml:space="preserve">Common Characteristics of Clients Likely to Subscribe</w:t>
      </w:r>
    </w:p>
    <w:p>
      <w:pPr>
        <w:pStyle w:val="FirstParagraph"/>
      </w:pPr>
      <w:r>
        <w:t xml:space="preserve">Based on EDA and model insights:</w:t>
      </w:r>
    </w:p>
    <w:p>
      <w:pPr>
        <w:numPr>
          <w:ilvl w:val="0"/>
          <w:numId w:val="1008"/>
        </w:numPr>
        <w:pStyle w:val="Compact"/>
      </w:pPr>
      <w:r>
        <w:rPr>
          <w:bCs/>
          <w:b/>
        </w:rPr>
        <w:t xml:space="preserve">Demographics</w:t>
      </w:r>
      <w:r>
        <w:t xml:space="preserve">:</w:t>
      </w:r>
    </w:p>
    <w:p>
      <w:pPr>
        <w:numPr>
          <w:ilvl w:val="1"/>
          <w:numId w:val="1009"/>
        </w:numPr>
        <w:pStyle w:val="Compact"/>
      </w:pPr>
      <w:r>
        <w:rPr>
          <w:bCs/>
          <w:b/>
        </w:rPr>
        <w:t xml:space="preserve">Age</w:t>
      </w:r>
      <w:r>
        <w:t xml:space="preserve">: Older clients (e.g., retirees, &gt;60) or younger clients (e.g., students, &lt;30) are more likely to subscribe than middle-aged clients.</w:t>
      </w:r>
    </w:p>
    <w:p>
      <w:pPr>
        <w:numPr>
          <w:ilvl w:val="1"/>
          <w:numId w:val="1009"/>
        </w:numPr>
        <w:pStyle w:val="Compact"/>
      </w:pPr>
      <w:r>
        <w:rPr>
          <w:bCs/>
          <w:b/>
        </w:rPr>
        <w:t xml:space="preserve">Job</w:t>
      </w:r>
      <w:r>
        <w:t xml:space="preserve">:</w:t>
      </w:r>
      <w:r>
        <w:t xml:space="preserve"> </w:t>
      </w:r>
      <w:r>
        <w:rPr>
          <w:rStyle w:val="VerbatimChar"/>
        </w:rPr>
        <w:t xml:space="preserve">Students</w:t>
      </w:r>
      <w:r>
        <w:t xml:space="preserve"> </w:t>
      </w:r>
      <w:r>
        <w:t xml:space="preserve">and</w:t>
      </w:r>
      <w:r>
        <w:t xml:space="preserve"> </w:t>
      </w:r>
      <w:r>
        <w:rPr>
          <w:rStyle w:val="VerbatimChar"/>
        </w:rPr>
        <w:t xml:space="preserve">retired</w:t>
      </w:r>
      <w:r>
        <w:t xml:space="preserve"> </w:t>
      </w:r>
      <w:r>
        <w:t xml:space="preserve">clients have higher subscription rates, possibly due to financial needs or availability.</w:t>
      </w:r>
    </w:p>
    <w:p>
      <w:pPr>
        <w:numPr>
          <w:ilvl w:val="1"/>
          <w:numId w:val="1009"/>
        </w:numPr>
        <w:pStyle w:val="Compact"/>
      </w:pPr>
      <w:r>
        <w:rPr>
          <w:bCs/>
          <w:b/>
        </w:rPr>
        <w:t xml:space="preserve">Education</w:t>
      </w:r>
      <w:r>
        <w:t xml:space="preserve">: Clients with</w:t>
      </w:r>
      <w:r>
        <w:t xml:space="preserve"> </w:t>
      </w:r>
      <w:r>
        <w:rPr>
          <w:rStyle w:val="VerbatimChar"/>
        </w:rPr>
        <w:t xml:space="preserve">university.degree</w:t>
      </w:r>
      <w:r>
        <w:t xml:space="preserve"> </w:t>
      </w:r>
      <w:r>
        <w:t xml:space="preserve">or</w:t>
      </w:r>
      <w:r>
        <w:t xml:space="preserve"> </w:t>
      </w:r>
      <w:r>
        <w:rPr>
          <w:rStyle w:val="VerbatimChar"/>
        </w:rPr>
        <w:t xml:space="preserve">professional.course</w:t>
      </w:r>
      <w:r>
        <w:t xml:space="preserve"> </w:t>
      </w:r>
      <w:r>
        <w:t xml:space="preserve">are more likely to subscribe, indicating higher financial literacy.</w:t>
      </w:r>
    </w:p>
    <w:p>
      <w:pPr>
        <w:numPr>
          <w:ilvl w:val="1"/>
          <w:numId w:val="1009"/>
        </w:numPr>
        <w:pStyle w:val="Compact"/>
      </w:pPr>
      <w:r>
        <w:rPr>
          <w:bCs/>
          <w:b/>
        </w:rPr>
        <w:t xml:space="preserve">Marital</w:t>
      </w:r>
      <w:r>
        <w:t xml:space="preserve">:</w:t>
      </w:r>
      <w:r>
        <w:t xml:space="preserve"> </w:t>
      </w:r>
      <w:r>
        <w:rPr>
          <w:rStyle w:val="VerbatimChar"/>
        </w:rPr>
        <w:t xml:space="preserve">Single</w:t>
      </w:r>
      <w:r>
        <w:t xml:space="preserve"> </w:t>
      </w:r>
      <w:r>
        <w:t xml:space="preserve">clients tend to subscribe more than</w:t>
      </w:r>
      <w:r>
        <w:t xml:space="preserve"> </w:t>
      </w:r>
      <w:r>
        <w:rPr>
          <w:rStyle w:val="VerbatimChar"/>
        </w:rPr>
        <w:t xml:space="preserve">married</w:t>
      </w:r>
      <w:r>
        <w:t xml:space="preserve"> </w:t>
      </w:r>
      <w:r>
        <w:t xml:space="preserve">or</w:t>
      </w:r>
      <w:r>
        <w:t xml:space="preserve"> </w:t>
      </w:r>
      <w:r>
        <w:rPr>
          <w:rStyle w:val="VerbatimChar"/>
        </w:rPr>
        <w:t xml:space="preserve">divorced</w:t>
      </w:r>
      <w:r>
        <w:t xml:space="preserve">, possibly due to fewer financial commitments.</w:t>
      </w:r>
    </w:p>
    <w:p>
      <w:pPr>
        <w:numPr>
          <w:ilvl w:val="0"/>
          <w:numId w:val="1008"/>
        </w:numPr>
        <w:pStyle w:val="Compact"/>
      </w:pPr>
      <w:r>
        <w:rPr>
          <w:bCs/>
          <w:b/>
        </w:rPr>
        <w:t xml:space="preserve">Campaign Details</w:t>
      </w:r>
      <w:r>
        <w:t xml:space="preserve">:</w:t>
      </w:r>
    </w:p>
    <w:p>
      <w:pPr>
        <w:numPr>
          <w:ilvl w:val="1"/>
          <w:numId w:val="1010"/>
        </w:numPr>
        <w:pStyle w:val="Compact"/>
      </w:pPr>
      <w:r>
        <w:rPr>
          <w:bCs/>
          <w:b/>
        </w:rPr>
        <w:t xml:space="preserve">Contact</w:t>
      </w:r>
      <w:r>
        <w:t xml:space="preserve">:</w:t>
      </w:r>
      <w:r>
        <w:t xml:space="preserve"> </w:t>
      </w:r>
      <w:r>
        <w:rPr>
          <w:rStyle w:val="VerbatimChar"/>
        </w:rPr>
        <w:t xml:space="preserve">Cellular</w:t>
      </w:r>
      <w:r>
        <w:t xml:space="preserve"> </w:t>
      </w:r>
      <w:r>
        <w:t xml:space="preserve">contacts are more effective than</w:t>
      </w:r>
      <w:r>
        <w:t xml:space="preserve"> </w:t>
      </w:r>
      <w:r>
        <w:rPr>
          <w:rStyle w:val="VerbatimChar"/>
        </w:rPr>
        <w:t xml:space="preserve">telephone</w:t>
      </w:r>
      <w:r>
        <w:t xml:space="preserve">, likely due to convenience.</w:t>
      </w:r>
    </w:p>
    <w:p>
      <w:pPr>
        <w:numPr>
          <w:ilvl w:val="1"/>
          <w:numId w:val="1010"/>
        </w:numPr>
        <w:pStyle w:val="Compact"/>
      </w:pPr>
      <w:r>
        <w:rPr>
          <w:bCs/>
          <w:b/>
        </w:rPr>
        <w:t xml:space="preserve">Month</w:t>
      </w:r>
      <w:r>
        <w:t xml:space="preserve">: Campaigns in</w:t>
      </w:r>
      <w:r>
        <w:t xml:space="preserve"> </w:t>
      </w:r>
      <w:r>
        <w:rPr>
          <w:rStyle w:val="VerbatimChar"/>
        </w:rPr>
        <w:t xml:space="preserve">October</w:t>
      </w:r>
      <w:r>
        <w:t xml:space="preserve">,</w:t>
      </w:r>
      <w:r>
        <w:t xml:space="preserve"> </w:t>
      </w:r>
      <w:r>
        <w:rPr>
          <w:rStyle w:val="VerbatimChar"/>
        </w:rPr>
        <w:t xml:space="preserve">September</w:t>
      </w:r>
      <w:r>
        <w:t xml:space="preserve">, or</w:t>
      </w:r>
      <w:r>
        <w:t xml:space="preserve"> </w:t>
      </w:r>
      <w:r>
        <w:rPr>
          <w:rStyle w:val="VerbatimChar"/>
        </w:rPr>
        <w:t xml:space="preserve">March</w:t>
      </w:r>
      <w:r>
        <w:t xml:space="preserve"> </w:t>
      </w:r>
      <w:r>
        <w:t xml:space="preserve">have higher success rates, possibly due to lower campaign volume or seasonal factors.</w:t>
      </w:r>
    </w:p>
    <w:p>
      <w:pPr>
        <w:numPr>
          <w:ilvl w:val="1"/>
          <w:numId w:val="1010"/>
        </w:numPr>
        <w:pStyle w:val="Compact"/>
      </w:pPr>
      <w:r>
        <w:rPr>
          <w:bCs/>
          <w:b/>
        </w:rPr>
        <w:t xml:space="preserve">Poutcome</w:t>
      </w:r>
      <w:r>
        <w:t xml:space="preserve">: Clients with a</w:t>
      </w:r>
      <w:r>
        <w:t xml:space="preserve"> </w:t>
      </w:r>
      <w:r>
        <w:rPr>
          <w:rStyle w:val="VerbatimChar"/>
        </w:rPr>
        <w:t xml:space="preserve">success</w:t>
      </w:r>
      <w:r>
        <w:t xml:space="preserve"> </w:t>
      </w:r>
      <w:r>
        <w:t xml:space="preserve">in previous campaigns are highly likely to subscribe again.</w:t>
      </w:r>
    </w:p>
    <w:p>
      <w:pPr>
        <w:numPr>
          <w:ilvl w:val="1"/>
          <w:numId w:val="1010"/>
        </w:numPr>
        <w:pStyle w:val="Compact"/>
      </w:pPr>
      <w:r>
        <w:rPr>
          <w:bCs/>
          <w:b/>
        </w:rPr>
        <w:t xml:space="preserve">Duration</w:t>
      </w:r>
      <w:r>
        <w:t xml:space="preserve">: Calls lasting &gt;300 seconds (5 minutes) are strongly associated with subscriptions.</w:t>
      </w:r>
    </w:p>
    <w:p>
      <w:pPr>
        <w:numPr>
          <w:ilvl w:val="0"/>
          <w:numId w:val="1008"/>
        </w:numPr>
        <w:pStyle w:val="Compact"/>
      </w:pPr>
      <w:r>
        <w:rPr>
          <w:bCs/>
          <w:b/>
        </w:rPr>
        <w:t xml:space="preserve">Economic Context</w:t>
      </w:r>
      <w:r>
        <w:t xml:space="preserve">:</w:t>
      </w:r>
    </w:p>
    <w:p>
      <w:pPr>
        <w:numPr>
          <w:ilvl w:val="1"/>
          <w:numId w:val="1011"/>
        </w:numPr>
        <w:pStyle w:val="Compact"/>
      </w:pPr>
      <w:r>
        <w:t xml:space="preserve">Subscriptions are more likely when</w:t>
      </w:r>
      <w:r>
        <w:t xml:space="preserve"> </w:t>
      </w:r>
      <w:r>
        <w:rPr>
          <w:rStyle w:val="VerbatimChar"/>
        </w:rPr>
        <w:t xml:space="preserve">euribor3m</w:t>
      </w:r>
      <w:r>
        <w:t xml:space="preserve"> </w:t>
      </w:r>
      <w:r>
        <w:t xml:space="preserve">is low (&lt;2.0) and</w:t>
      </w:r>
      <w:r>
        <w:t xml:space="preserve"> </w:t>
      </w:r>
      <w:r>
        <w:rPr>
          <w:rStyle w:val="VerbatimChar"/>
        </w:rPr>
        <w:t xml:space="preserve">cons.conf.idx</w:t>
      </w:r>
      <w:r>
        <w:t xml:space="preserve"> </w:t>
      </w:r>
      <w:r>
        <w:t xml:space="preserve">(consumer confidence) is high (&gt;-30), reflecting economic optimism.</w:t>
      </w:r>
    </w:p>
    <w:bookmarkEnd w:id="25"/>
    <w:bookmarkEnd w:id="26"/>
    <w:bookmarkStart w:id="27" w:name="Xac28c36ecded9d65dc1a798a0ba2cb887e44960"/>
    <w:p>
      <w:pPr>
        <w:pStyle w:val="Heading2"/>
      </w:pPr>
      <w:r>
        <w:t xml:space="preserve">Actionable Recommendations for the Marketing Team</w:t>
      </w:r>
    </w:p>
    <w:p>
      <w:pPr>
        <w:numPr>
          <w:ilvl w:val="0"/>
          <w:numId w:val="1012"/>
        </w:numPr>
      </w:pPr>
      <w:r>
        <w:rPr>
          <w:bCs/>
          <w:b/>
        </w:rPr>
        <w:t xml:space="preserve">Target High-Potential Client Segments</w:t>
      </w:r>
      <w:r>
        <w:t xml:space="preserve">:</w:t>
      </w:r>
    </w:p>
    <w:p>
      <w:pPr>
        <w:numPr>
          <w:ilvl w:val="1"/>
          <w:numId w:val="1013"/>
        </w:numPr>
        <w:pStyle w:val="Compact"/>
      </w:pPr>
      <w:r>
        <w:t xml:space="preserve">Focus on</w:t>
      </w:r>
      <w:r>
        <w:t xml:space="preserve"> </w:t>
      </w:r>
      <w:r>
        <w:rPr>
          <w:bCs/>
          <w:b/>
        </w:rPr>
        <w:t xml:space="preserve">students</w:t>
      </w:r>
      <w:r>
        <w:t xml:space="preserve"> </w:t>
      </w:r>
      <w:r>
        <w:t xml:space="preserve">and</w:t>
      </w:r>
      <w:r>
        <w:t xml:space="preserve"> </w:t>
      </w:r>
      <w:r>
        <w:rPr>
          <w:bCs/>
          <w:b/>
        </w:rPr>
        <w:t xml:space="preserve">retired</w:t>
      </w:r>
      <w:r>
        <w:t xml:space="preserve"> </w:t>
      </w:r>
      <w:r>
        <w:t xml:space="preserve">clients, who show higher subscription rates. Tailor messaging to their needs (e.g., flexible terms for students, secure investments for retirees).</w:t>
      </w:r>
    </w:p>
    <w:p>
      <w:pPr>
        <w:numPr>
          <w:ilvl w:val="1"/>
          <w:numId w:val="1013"/>
        </w:numPr>
        <w:pStyle w:val="Compact"/>
      </w:pPr>
      <w:r>
        <w:t xml:space="preserve">Prioritize clients with</w:t>
      </w:r>
      <w:r>
        <w:t xml:space="preserve"> </w:t>
      </w:r>
      <w:r>
        <w:rPr>
          <w:bCs/>
          <w:b/>
        </w:rPr>
        <w:t xml:space="preserve">university degrees</w:t>
      </w:r>
      <w:r>
        <w:t xml:space="preserve"> </w:t>
      </w:r>
      <w:r>
        <w:t xml:space="preserve">or</w:t>
      </w:r>
      <w:r>
        <w:t xml:space="preserve"> </w:t>
      </w:r>
      <w:r>
        <w:rPr>
          <w:bCs/>
          <w:b/>
        </w:rPr>
        <w:t xml:space="preserve">professional courses</w:t>
      </w:r>
      <w:r>
        <w:t xml:space="preserve">, emphasizing financial benefits and stability.</w:t>
      </w:r>
    </w:p>
    <w:p>
      <w:pPr>
        <w:numPr>
          <w:ilvl w:val="1"/>
          <w:numId w:val="1013"/>
        </w:numPr>
        <w:pStyle w:val="Compact"/>
      </w:pPr>
      <w:r>
        <w:t xml:space="preserve">Target</w:t>
      </w:r>
      <w:r>
        <w:t xml:space="preserve"> </w:t>
      </w:r>
      <w:r>
        <w:rPr>
          <w:bCs/>
          <w:b/>
        </w:rPr>
        <w:t xml:space="preserve">single</w:t>
      </w:r>
      <w:r>
        <w:t xml:space="preserve"> </w:t>
      </w:r>
      <w:r>
        <w:t xml:space="preserve">clients with campaigns highlighting personal financial growth opportunities.</w:t>
      </w:r>
    </w:p>
    <w:p>
      <w:pPr>
        <w:numPr>
          <w:ilvl w:val="0"/>
          <w:numId w:val="1012"/>
        </w:numPr>
      </w:pPr>
      <w:r>
        <w:rPr>
          <w:bCs/>
          <w:b/>
        </w:rPr>
        <w:t xml:space="preserve">Optimize Campaign Timing</w:t>
      </w:r>
      <w:r>
        <w:t xml:space="preserve">:</w:t>
      </w:r>
    </w:p>
    <w:p>
      <w:pPr>
        <w:numPr>
          <w:ilvl w:val="1"/>
          <w:numId w:val="1014"/>
        </w:numPr>
        <w:pStyle w:val="Compact"/>
      </w:pPr>
      <w:r>
        <w:t xml:space="preserve">Run campaigns in</w:t>
      </w:r>
      <w:r>
        <w:t xml:space="preserve"> </w:t>
      </w:r>
      <w:r>
        <w:rPr>
          <w:bCs/>
          <w:b/>
        </w:rPr>
        <w:t xml:space="preserve">October</w:t>
      </w:r>
      <w:r>
        <w:t xml:space="preserve">,</w:t>
      </w:r>
      <w:r>
        <w:t xml:space="preserve"> </w:t>
      </w:r>
      <w:r>
        <w:rPr>
          <w:bCs/>
          <w:b/>
        </w:rPr>
        <w:t xml:space="preserve">September</w:t>
      </w:r>
      <w:r>
        <w:t xml:space="preserve">, or</w:t>
      </w:r>
      <w:r>
        <w:t xml:space="preserve"> </w:t>
      </w:r>
      <w:r>
        <w:rPr>
          <w:bCs/>
          <w:b/>
        </w:rPr>
        <w:t xml:space="preserve">March</w:t>
      </w:r>
      <w:r>
        <w:t xml:space="preserve">, when subscription rates are higher. Avoid oversaturation in</w:t>
      </w:r>
      <w:r>
        <w:t xml:space="preserve"> </w:t>
      </w:r>
      <w:r>
        <w:rPr>
          <w:bCs/>
          <w:b/>
        </w:rPr>
        <w:t xml:space="preserve">May</w:t>
      </w:r>
      <w:r>
        <w:t xml:space="preserve">, which has high volume but lower success.</w:t>
      </w:r>
    </w:p>
    <w:p>
      <w:pPr>
        <w:numPr>
          <w:ilvl w:val="1"/>
          <w:numId w:val="1014"/>
        </w:numPr>
        <w:pStyle w:val="Compact"/>
      </w:pPr>
      <w:r>
        <w:t xml:space="preserve">Schedule calls on</w:t>
      </w:r>
      <w:r>
        <w:t xml:space="preserve"> </w:t>
      </w:r>
      <w:r>
        <w:rPr>
          <w:bCs/>
          <w:b/>
        </w:rPr>
        <w:t xml:space="preserve">Tuesdays</w:t>
      </w:r>
      <w:r>
        <w:t xml:space="preserve"> </w:t>
      </w:r>
      <w:r>
        <w:t xml:space="preserve">or</w:t>
      </w:r>
      <w:r>
        <w:t xml:space="preserve"> </w:t>
      </w:r>
      <w:r>
        <w:rPr>
          <w:bCs/>
          <w:b/>
        </w:rPr>
        <w:t xml:space="preserve">Wednesdays</w:t>
      </w:r>
      <w:r>
        <w:t xml:space="preserve">, as these days showed balanced engagement in EDA.</w:t>
      </w:r>
    </w:p>
    <w:p>
      <w:pPr>
        <w:numPr>
          <w:ilvl w:val="0"/>
          <w:numId w:val="1012"/>
        </w:numPr>
      </w:pPr>
      <w:r>
        <w:rPr>
          <w:bCs/>
          <w:b/>
        </w:rPr>
        <w:t xml:space="preserve">Leverage Previous Campaign Success</w:t>
      </w:r>
      <w:r>
        <w:t xml:space="preserve">:</w:t>
      </w:r>
    </w:p>
    <w:p>
      <w:pPr>
        <w:numPr>
          <w:ilvl w:val="1"/>
          <w:numId w:val="1015"/>
        </w:numPr>
        <w:pStyle w:val="Compact"/>
      </w:pPr>
      <w:r>
        <w:t xml:space="preserve">Re-target clients with a</w:t>
      </w:r>
      <w:r>
        <w:t xml:space="preserve"> </w:t>
      </w:r>
      <w:r>
        <w:rPr>
          <w:bCs/>
          <w:b/>
        </w:rPr>
        <w:t xml:space="preserve">successful previous outcome</w:t>
      </w:r>
      <w:r>
        <w:t xml:space="preserve"> </w:t>
      </w:r>
      <w:r>
        <w:t xml:space="preserve">(</w:t>
      </w:r>
      <w:r>
        <w:rPr>
          <w:rStyle w:val="VerbatimChar"/>
        </w:rPr>
        <w:t xml:space="preserve">poutcome=success</w:t>
      </w:r>
      <w:r>
        <w:t xml:space="preserve">). Offer personalized incentives to reinforce loyalty.</w:t>
      </w:r>
    </w:p>
    <w:p>
      <w:pPr>
        <w:numPr>
          <w:ilvl w:val="1"/>
          <w:numId w:val="1015"/>
        </w:numPr>
        <w:pStyle w:val="Compact"/>
      </w:pPr>
      <w:r>
        <w:t xml:space="preserve">For clients with</w:t>
      </w:r>
      <w:r>
        <w:t xml:space="preserve"> </w:t>
      </w:r>
      <w:r>
        <w:rPr>
          <w:rStyle w:val="VerbatimChar"/>
        </w:rPr>
        <w:t xml:space="preserve">nonexistent</w:t>
      </w:r>
      <w:r>
        <w:t xml:space="preserve"> </w:t>
      </w:r>
      <w:r>
        <w:t xml:space="preserve">or</w:t>
      </w:r>
      <w:r>
        <w:t xml:space="preserve"> </w:t>
      </w:r>
      <w:r>
        <w:rPr>
          <w:rStyle w:val="VerbatimChar"/>
        </w:rPr>
        <w:t xml:space="preserve">failure</w:t>
      </w:r>
      <w:r>
        <w:t xml:space="preserve"> </w:t>
      </w:r>
      <w:r>
        <w:t xml:space="preserve">outcomes, use softer engagement strategies (e.g., educational content) before pitching.</w:t>
      </w:r>
    </w:p>
    <w:p>
      <w:pPr>
        <w:numPr>
          <w:ilvl w:val="0"/>
          <w:numId w:val="1012"/>
        </w:numPr>
      </w:pPr>
      <w:r>
        <w:rPr>
          <w:bCs/>
          <w:b/>
        </w:rPr>
        <w:t xml:space="preserve">Enhance Call Effectiveness</w:t>
      </w:r>
      <w:r>
        <w:t xml:space="preserve">:</w:t>
      </w:r>
    </w:p>
    <w:p>
      <w:pPr>
        <w:numPr>
          <w:ilvl w:val="1"/>
          <w:numId w:val="1016"/>
        </w:numPr>
        <w:pStyle w:val="Compact"/>
      </w:pPr>
      <w:r>
        <w:t xml:space="preserve">Train agents to extend call duration (aim for &gt;5 minutes) by building rapport and addressing client concerns, as longer calls strongly predict subscriptions.</w:t>
      </w:r>
    </w:p>
    <w:p>
      <w:pPr>
        <w:numPr>
          <w:ilvl w:val="1"/>
          <w:numId w:val="1016"/>
        </w:numPr>
        <w:pStyle w:val="Compact"/>
      </w:pPr>
      <w:r>
        <w:t xml:space="preserve">Use</w:t>
      </w:r>
      <w:r>
        <w:t xml:space="preserve"> </w:t>
      </w:r>
      <w:r>
        <w:rPr>
          <w:bCs/>
          <w:b/>
        </w:rPr>
        <w:t xml:space="preserve">cellular</w:t>
      </w:r>
      <w:r>
        <w:t xml:space="preserve"> </w:t>
      </w:r>
      <w:r>
        <w:t xml:space="preserve">contact methods, as they are more effective and convenient for clients.</w:t>
      </w:r>
    </w:p>
    <w:p>
      <w:pPr>
        <w:numPr>
          <w:ilvl w:val="0"/>
          <w:numId w:val="1012"/>
        </w:numPr>
      </w:pPr>
      <w:r>
        <w:rPr>
          <w:bCs/>
          <w:b/>
        </w:rPr>
        <w:t xml:space="preserve">Monitor Economic Conditions</w:t>
      </w:r>
      <w:r>
        <w:t xml:space="preserve">:</w:t>
      </w:r>
    </w:p>
    <w:p>
      <w:pPr>
        <w:numPr>
          <w:ilvl w:val="1"/>
          <w:numId w:val="1017"/>
        </w:numPr>
        <w:pStyle w:val="Compact"/>
      </w:pPr>
      <w:r>
        <w:t xml:space="preserve">Launch aggressive campaigns when</w:t>
      </w:r>
      <w:r>
        <w:t xml:space="preserve"> </w:t>
      </w:r>
      <w:r>
        <w:rPr>
          <w:bCs/>
          <w:b/>
        </w:rPr>
        <w:t xml:space="preserve">Euribor3m</w:t>
      </w:r>
      <w:r>
        <w:t xml:space="preserve"> </w:t>
      </w:r>
      <w:r>
        <w:t xml:space="preserve">is low (&lt;2.0) and</w:t>
      </w:r>
      <w:r>
        <w:t xml:space="preserve"> </w:t>
      </w:r>
      <w:r>
        <w:rPr>
          <w:bCs/>
          <w:b/>
        </w:rPr>
        <w:t xml:space="preserve">consumer confidence</w:t>
      </w:r>
      <w:r>
        <w:t xml:space="preserve"> </w:t>
      </w:r>
      <w:r>
        <w:t xml:space="preserve">is high (&gt;-30), as clients are more receptive during stable economies.</w:t>
      </w:r>
    </w:p>
    <w:p>
      <w:pPr>
        <w:numPr>
          <w:ilvl w:val="1"/>
          <w:numId w:val="1017"/>
        </w:numPr>
        <w:pStyle w:val="Compact"/>
      </w:pPr>
      <w:r>
        <w:t xml:space="preserve">Adjust messaging during high</w:t>
      </w:r>
      <w:r>
        <w:t xml:space="preserve"> </w:t>
      </w:r>
      <w:r>
        <w:rPr>
          <w:rStyle w:val="VerbatimChar"/>
        </w:rPr>
        <w:t xml:space="preserve">euribor3m</w:t>
      </w:r>
      <w:r>
        <w:t xml:space="preserve"> </w:t>
      </w:r>
      <w:r>
        <w:t xml:space="preserve">periods to emphasize security and low-risk benefits of term deposits.</w:t>
      </w:r>
    </w:p>
    <w:bookmarkEnd w:id="27"/>
    <w:bookmarkStart w:id="28" w:name="conclusion"/>
    <w:p>
      <w:pPr>
        <w:pStyle w:val="Heading2"/>
      </w:pPr>
      <w:r>
        <w:t xml:space="preserve">Conclusion</w:t>
      </w:r>
    </w:p>
    <w:p>
      <w:pPr>
        <w:pStyle w:val="FirstParagraph"/>
      </w:pPr>
      <w:r>
        <w:t xml:space="preserve">The EDA revealed a highly imbalanced dataset with key insights into client demographics, campaign timing, and economic influences. The Random Forest model identified</w:t>
      </w:r>
      <w:r>
        <w:t xml:space="preserve"> </w:t>
      </w:r>
      <w:r>
        <w:rPr>
          <w:rStyle w:val="VerbatimChar"/>
        </w:rPr>
        <w:t xml:space="preserve">duration</w:t>
      </w:r>
      <w:r>
        <w:t xml:space="preserve">,</w:t>
      </w:r>
      <w:r>
        <w:t xml:space="preserve"> </w:t>
      </w:r>
      <w:r>
        <w:rPr>
          <w:rStyle w:val="VerbatimChar"/>
        </w:rPr>
        <w:t xml:space="preserve">poutcome_success</w:t>
      </w:r>
      <w:r>
        <w:t xml:space="preserve">,</w:t>
      </w:r>
      <w:r>
        <w:t xml:space="preserve"> </w:t>
      </w:r>
      <w:r>
        <w:rPr>
          <w:rStyle w:val="VerbatimChar"/>
        </w:rPr>
        <w:t xml:space="preserve">euribor3m</w:t>
      </w:r>
      <w:r>
        <w:t xml:space="preserve">,</w:t>
      </w:r>
      <w:r>
        <w:t xml:space="preserve"> </w:t>
      </w:r>
      <w:r>
        <w:rPr>
          <w:rStyle w:val="VerbatimChar"/>
        </w:rPr>
        <w:t xml:space="preserve">age</w:t>
      </w:r>
      <w:r>
        <w:t xml:space="preserve">, and specific</w:t>
      </w:r>
      <w:r>
        <w:t xml:space="preserve"> </w:t>
      </w:r>
      <w:r>
        <w:rPr>
          <w:rStyle w:val="VerbatimChar"/>
        </w:rPr>
        <w:t xml:space="preserve">month</w:t>
      </w:r>
      <w:r>
        <w:t xml:space="preserve"> </w:t>
      </w:r>
      <w:r>
        <w:t xml:space="preserve">variables as the most impactful features. Clients likely to subscribe are often students, retirees, or single individuals with higher education, contacted via cellular in favorable economic conditions or specific months. The marketing team can optimize campaigns by targeting these segments, timing campaigns strategically, and leveraging economic trends.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