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Matematika dan Bahasa Indonesia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Toko-Tokoan Angka: Berhitung dengan Uang Mainan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(Bilangan); Bahasa Indonesia (Berbicara dan Mempresentasikan);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Kewargaan,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Juli–Agustus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Simulasi toko-tokoan dan kartu catatan hitung sederhana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Menara Bentuk: Membangun dari Bangun Ruang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(Geometri); Bahasa Indonesia (Menulis); Seni Rupa,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Menara bangun ruang dan teks deskripsi tertulis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Timbangan Sederhana: Membandingkan Berat Benda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(Pengukuran); Bahasa Indonesia (Menulis); Pendidikan Pancasila,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Timbangan sederhana dan tabel hasil perbandingan berat benda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Pola: Motif Berulang pada Dinding Rumah Mainan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(Aljabar); Bahasa Indonesia (Berbicara dan Mempresentasikan);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Kreativitas, Penalaran Kritis,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mainan berpola dan presentasi lisan pola yang digunakan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Cuaca: Mencatat Cuaca Harian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(Analisis Data dan Peluang); Bahasa Indonesia (Membaca dan Memirsa);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Kemandirian,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dinding cuaca harian kelas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Harta Karun Kelasku: Mengenal Posisi dan Arah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(Geometri); Bahasa Indonesia (Menyimak); PJOK,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Kolaborasi, Komunikasi, Kesehatan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Denah kelas sederhana dan permainan pencarian harta karun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Buah Pecahanku: Berbagi Buah Sama Banyak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(Bilangan); Bahasa Indonesia (Menulis);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Kewargaan,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Maret–April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Buah/kue tiruan hasil pembagian dan teks rekon pengalaman berbagi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Kartu Setara: Bermain dengan Simbol "="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(Aljabar); Bahasa Indonesia (Membaca dan Memirsa);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April–Mei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Kartu memori pasangan kalimat matematika bergambar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