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SEMESTER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 (GANJIL) — Juli–Desember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Juli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Agustus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September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Oktober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Desember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Pancaindraku Hebat: Alat Peraga Fungsi Panca Indra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Zat Ajaib: Mengamati Perubahan Wujud di Sekitar Kita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Kincir Angin Mini: Sumber dan Perubahan Energi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Mainan Dorong-Tarik: Mengenal Gaya dan Pengaruhnya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Peta Kampungku: Mengenal Letak Wilayah Tempat Tinggal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Semester (ASAS) dan Gelar Karya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minggu pelaksanaan proyek. Minggu dihitung dari tanggal 1 setiap bulan (minggu ke-1 = tanggal 1–7, dst.). Libur 17 Agustus dan hari besar mengikuti kalender pendidikan.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 (GENAP) — Januari–Juni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Januari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Februari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Maret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April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Mei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Juni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Grafik Panenku: Piktogram Bentang Alam dan Hasil Bumi Daerahku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Motif Nusantara: Menemukan Pola pada Kain Adat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Kios Kejujuran Sekolah: Mengenal Nilai Uang dan Pengelolaan Keuangan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Taman Kupu-Kupu Sekolah: Siklus Hidup dan Pelestarian Makhluk Hidup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Panggung Boneka Peran Warga: Interaksi Sosial di Lingkunganku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Tahun (ASAT) dan Festival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rencana minggu pelaksanaan; Maret 2027 bertepatan dengan Ramadan/Idulfitri sehingga proyek diatur sebelum dan sesudahnya. Tanggal pasti menyesuaikan Kalender Pendidikan Jawa Barat.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