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610423B">
      <w:pPr>
        <w:spacing/>
        <w:ind/>
        <w:rPr>
          <w:b w:val="0"/>
          <w:bCs w:val="0"/>
          <w:sz w:val="22"/>
          <w:szCs w:val="22"/>
          <w:highlight w:val="none"/>
        </w:rPr>
      </w:pPr>
      <w:r>
        <w:rPr>
          <w:b/>
          <w:bCs/>
          <w:sz w:val="36"/>
          <w:szCs w:val="36"/>
        </w:rPr>
        <w:t xml:space="preserve">Experiment 1: Analysis of TCP Data Transfer, Segmentation and Flow</w:t>
        <w:br/>
      </w:r>
      <w:r>
        <w:rPr>
          <w:b w:val="0"/>
          <w:bCs w:val="0"/>
          <w:sz w:val="22"/>
          <w:szCs w:val="22"/>
        </w:rPr>
        <w:t xml:space="preserve">Step 1 and 2:</w:t>
      </w: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</w:r>
    </w:p>
    <w:tbl>
      <w:tblPr>
        <w:tblStyle w:val="71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253"/>
        <w:gridCol w:w="709"/>
        <w:gridCol w:w="850"/>
        <w:gridCol w:w="850"/>
        <w:gridCol w:w="850"/>
        <w:gridCol w:w="850"/>
        <w:gridCol w:w="1276"/>
        <w:gridCol w:w="992"/>
        <w:gridCol w:w="1843"/>
      </w:tblGrid>
      <w:tr>
        <w:trPr>
          <w:trHeight w:val="506"/>
        </w:trPr>
        <w:tc>
          <w:tcPr>
            <w:tcBorders/>
            <w:tcW w:w="1253" w:type="dxa"/>
            <w:vAlign w:val="center"/>
          </w:tcPr>
          <w:p w14:paraId="7AEE5B8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Part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132F77D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Sl no.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53987B5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Src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251C31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Dest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29B68E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Seq 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F0C635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213CE4C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Flags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40C68B9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Length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31F714A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Window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Align w:val="center"/>
            <w:vMerge w:val="restart"/>
          </w:tcPr>
          <w:p w14:paraId="154F17F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Connection Establishment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4EDD629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720AF6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5047B2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AA2617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F2C16E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-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61BCF5E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SYN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4976E74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FA1158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65495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105661C7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587FF30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6BEC72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449983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54F81C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64A5C2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0DD9E1B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SYN,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12DA0AB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2AEE486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65483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280ABF52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062AFB2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4AA53B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3E2655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5EDBF2B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F2C71A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3420970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2D10ECE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A8594E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Align w:val="center"/>
            <w:vMerge w:val="restart"/>
          </w:tcPr>
          <w:p w14:paraId="5ED74EF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Data Transfer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7221915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6151BC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0C570D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1E0C12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F41D19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747D733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0952FD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7CD584D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01552272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0A51EDF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573091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5B412B6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6FD087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7C6FE5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4097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260771A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1482416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2BFAA03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2B5CB104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4312997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94EB2C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E811FF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604116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4097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61EA2A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12B1498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42D89C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E09343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36591E38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0E1FE98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7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A38689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B2C85B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18240B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ACA3FC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8193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2FD12E4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5A961D1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952483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69D32152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7F8A146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8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94EB2C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E811FF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A92F21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8193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D9FD9E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6312F7A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B54984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FFC50C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7A575102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289EF3B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9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A38689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B2C85B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5989FB3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5270DAD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12289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5EE2769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72A83AC3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09AEF84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387EA057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72DB7B4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94EB2C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E811FF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CDCC30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12289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8E5AF7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4903273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6B54509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147CA26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4746D90A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2C8EFAE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A38689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B2C85B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3342ED9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5056EA3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16385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356FD8A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2E1C7A9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8A4DEE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47CBB171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539B301B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94EB2C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E811FF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5C82B5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16385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0D9F7A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7865615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PSH,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3281A31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4096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338561F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683D2BD1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135700D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13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A38689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B2C85B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677B23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713759C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07F4ED21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1CD59FD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0540C13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Align w:val="center"/>
            <w:vMerge w:val="restart"/>
          </w:tcPr>
          <w:p w14:paraId="117041F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Connection Termination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709" w:type="dxa"/>
            <w:vAlign w:val="center"/>
          </w:tcPr>
          <w:p w14:paraId="376773E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494EB2C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1E811FF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088DABC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342D95D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53F7EFF0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FIN,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1AF8A3D4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5627783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35C74C34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2394910F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15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A38689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B2C85B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28F497B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</w:tcPr>
          <w:p w14:paraId="6D0C54E5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</w:tcPr>
          <w:p w14:paraId="30E227E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FIN, 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</w:tcPr>
          <w:p w14:paraId="0E1624A7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</w:tcPr>
          <w:p w14:paraId="63DDAABA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102400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  <w:tr>
        <w:trPr>
          <w:trHeight w:val="506"/>
        </w:trPr>
        <w:tc>
          <w:tcPr>
            <w:tcBorders/>
            <w:tcW w:w="1253" w:type="dxa"/>
            <w:vMerge w:val="continue"/>
          </w:tcPr>
          <w:p w14:paraId="7A85E74E">
            <w:pPr>
              <w:spacing/>
              <w:ind/>
              <w:rPr/>
            </w:pPr>
            <w:r/>
            <w:r/>
          </w:p>
        </w:tc>
        <w:tc>
          <w:tcPr>
            <w:tcBorders/>
            <w:tcW w:w="709" w:type="dxa"/>
            <w:vAlign w:val="center"/>
          </w:tcPr>
          <w:p w14:paraId="48AB45B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16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669542D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36144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7E3BC762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5000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6FD277EE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20482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850" w:type="dxa"/>
            <w:vAlign w:val="center"/>
            <w:vMerge w:val="restart"/>
          </w:tcPr>
          <w:p w14:paraId="1D2ACE19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2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276" w:type="dxa"/>
            <w:vAlign w:val="center"/>
            <w:vMerge w:val="restart"/>
          </w:tcPr>
          <w:p w14:paraId="69F67236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ACK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992" w:type="dxa"/>
            <w:vAlign w:val="center"/>
            <w:vMerge w:val="restart"/>
          </w:tcPr>
          <w:p w14:paraId="6ACE923C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0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  <w:tc>
          <w:tcPr>
            <w:tcBorders/>
            <w:tcW w:w="1843" w:type="dxa"/>
            <w:vAlign w:val="center"/>
            <w:vMerge w:val="restart"/>
          </w:tcPr>
          <w:p w14:paraId="1724BE28">
            <w:pPr>
              <w:spacing/>
              <w:ind/>
              <w:jc w:val="center"/>
              <w:rPr>
                <w:sz w:val="16"/>
                <w:szCs w:val="16"/>
                <w:highlight w:val="none"/>
              </w:rPr>
            </w:pPr>
            <w:r>
              <w:rPr>
                <w:sz w:val="16"/>
                <w:szCs w:val="16"/>
                <w:highlight w:val="none"/>
              </w:rPr>
              <w:t xml:space="preserve">65536</w:t>
            </w:r>
            <w:r>
              <w:rPr>
                <w:sz w:val="16"/>
                <w:szCs w:val="16"/>
                <w:highlight w:val="none"/>
              </w:rPr>
            </w:r>
            <w:r>
              <w:rPr>
                <w:sz w:val="16"/>
                <w:szCs w:val="16"/>
                <w:highlight w:val="none"/>
              </w:rPr>
            </w:r>
          </w:p>
        </w:tc>
      </w:tr>
    </w:tbl>
    <w:p w14:paraId="2BEB8B32">
      <w:pPr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946DD5">
      <w:pPr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46968" cy="141625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5612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046968" cy="1416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76.14pt;height:111.5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D8A5AFF">
      <w:pPr>
        <w:shd w:val="nil" w:color="ffffff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t xml:space="preserve">Step 3: Analyse TCP Segmentation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C8928E">
      <w:pPr>
        <w:spacing/>
        <w:ind/>
        <w:rPr>
          <w:highlight w:val="none"/>
        </w:rPr>
      </w:pPr>
      <w:r>
        <w:t xml:space="preserve">Select a sequence of TCP segments carrying application data.</w:t>
      </w:r>
      <w:r>
        <w:rPr>
          <w:highlight w:val="none"/>
        </w:rPr>
      </w:r>
      <w:r>
        <w:rPr>
          <w:highlight w:val="none"/>
        </w:rPr>
      </w:r>
    </w:p>
    <w:tbl>
      <w:tblPr>
        <w:tblStyle w:val="715"/>
        <w:tblW w:w="0" w:type="auto"/>
        <w:tblBorders/>
        <w:tblLook w:val="04A0" w:firstRow="1" w:lastRow="0" w:firstColumn="1" w:lastColumn="0" w:noHBand="0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/>
        <w:tc>
          <w:tcPr>
            <w:tcBorders/>
            <w:tcW w:w="1170" w:type="dxa"/>
          </w:tcPr>
          <w:p w14:paraId="7F30A34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Sl no.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C2AAA6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Src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09252F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Dest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29B338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Seq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5D0B45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E1CB07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Flags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B58595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Length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4A28FD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Window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7DEBF91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15D077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5B0514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7EBDD5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39B23D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739DB2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1E0C75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9A6658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53E2B0A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5AB270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58496A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99B8A3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60FAD8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B7F452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C4B68B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3DC173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76FD686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993766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387373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740638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62C698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8E8E29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982E0C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AD835B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54CC4D6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7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16B004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B77B38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59758A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E4B71F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8193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E0A09C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704DEA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54EC1D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14BECB4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0F0801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72D0CB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FBD6C1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8193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9D68EB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43DF4C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59BDE2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93D3B4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0423139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78C3B0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2FAC66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96FB4B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91F915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12289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5862D8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16EBED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B98DCCE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2947237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91F23E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E84331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6C00E1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12289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17E0E2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DF8769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43AFF6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F710F4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1446403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236E74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F44FC99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87F91B8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F7ECE3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16385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3FE786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A25D3C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61C5F9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32B48A0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001B020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5E2790D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296188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16385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EE6E5FC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408B523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PSH,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E5FF48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4096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D81B1D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599FDFE4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5304EB2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115C5E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B5F54E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AA6119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20481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7767FFE6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917D79B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B7450B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102400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1170" w:type="dxa"/>
          </w:tcPr>
          <w:p w14:paraId="7C33620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19577BAF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36144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5F3D8581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5000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70FDCEA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20481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68B47790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403050C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FIN, ACK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28075AD5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170" w:type="dxa"/>
          </w:tcPr>
          <w:p w14:paraId="38DF8027">
            <w:pPr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  <w:t xml:space="preserve">65536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7F8D5A29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5D5C176">
      <w:pPr>
        <w:spacing/>
        <w:ind/>
        <w:rPr>
          <w:highlight w:val="none"/>
        </w:rPr>
      </w:pPr>
      <w:r>
        <w:t xml:space="preserve">Step 4: </w:t>
      </w:r>
      <w:r>
        <w:rPr>
          <w:highlight w:val="none"/>
        </w:rPr>
      </w:r>
      <w:r>
        <w:rPr>
          <w:highlight w:val="none"/>
        </w:rPr>
      </w:r>
    </w:p>
    <w:p w14:paraId="003D559C">
      <w:pPr>
        <w:pStyle w:val="904"/>
        <w:numPr>
          <w:ilvl w:val="0"/>
          <w:numId w:val="2"/>
        </w:numPr>
        <w:spacing/>
        <w:ind/>
        <w:rPr>
          <w:highlight w:val="none"/>
        </w:rPr>
      </w:pPr>
      <w:r>
        <w:rPr>
          <w:highlight w:val="none"/>
        </w:rPr>
        <w:t xml:space="preserve">Bytes Acknowledged: In TCP, the acknowledgment number indicates the next expected byte.</w:t>
      </w:r>
      <w:r>
        <w:rPr>
          <w:highlight w:val="none"/>
        </w:rPr>
      </w:r>
      <w:r>
        <w:rPr>
          <w:highlight w:val="none"/>
        </w:rPr>
      </w:r>
    </w:p>
    <w:p w14:paraId="7B082B11">
      <w:pPr>
        <w:pStyle w:val="904"/>
        <w:numPr>
          <w:ilvl w:val="1"/>
          <w:numId w:val="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4097 acknowledges receipt of bytes 1 through 4096.</w:t>
      </w:r>
      <w:r>
        <w:rPr>
          <w:highlight w:val="none"/>
        </w:rPr>
      </w:r>
      <w:r>
        <w:rPr>
          <w:highlight w:val="none"/>
        </w:rPr>
      </w:r>
    </w:p>
    <w:p w14:paraId="49F0300B">
      <w:pPr>
        <w:pStyle w:val="904"/>
        <w:numPr>
          <w:ilvl w:val="1"/>
          <w:numId w:val="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8193 acknowledges receipt of bytes 4097 through 8192.</w:t>
      </w:r>
      <w:r>
        <w:rPr>
          <w:highlight w:val="none"/>
        </w:rPr>
      </w:r>
      <w:r>
        <w:rPr>
          <w:highlight w:val="none"/>
        </w:rPr>
      </w:r>
    </w:p>
    <w:p w14:paraId="16715149">
      <w:pPr>
        <w:pStyle w:val="904"/>
        <w:numPr>
          <w:ilvl w:val="1"/>
          <w:numId w:val="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12289 acknowledges receipt of bytes 8193 through 12288.</w:t>
      </w:r>
      <w:r>
        <w:rPr>
          <w:highlight w:val="none"/>
        </w:rPr>
      </w:r>
      <w:r>
        <w:rPr>
          <w:highlight w:val="none"/>
        </w:rPr>
      </w:r>
    </w:p>
    <w:p w14:paraId="2CB36AE6">
      <w:pPr>
        <w:pStyle w:val="904"/>
        <w:numPr>
          <w:ilvl w:val="1"/>
          <w:numId w:val="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16385 acknowledges receipt of bytes 12289 through 16384.</w:t>
      </w:r>
      <w:r>
        <w:rPr>
          <w:highlight w:val="none"/>
        </w:rPr>
      </w:r>
      <w:r>
        <w:rPr>
          <w:highlight w:val="none"/>
        </w:rPr>
      </w:r>
    </w:p>
    <w:p w14:paraId="71378597">
      <w:pPr>
        <w:pStyle w:val="904"/>
        <w:numPr>
          <w:ilvl w:val="1"/>
          <w:numId w:val="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Ack 20481 acknowledges receipt of bytes 16385 through 20480.</w:t>
      </w:r>
      <w:r>
        <w:rPr>
          <w:highlight w:val="none"/>
        </w:rPr>
      </w:r>
      <w:r>
        <w:rPr>
          <w:highlight w:val="none"/>
        </w:rPr>
      </w:r>
    </w:p>
    <w:p w14:paraId="2EB0D5E6">
      <w:pPr>
        <w:pStyle w:val="904"/>
        <w:numPr>
          <w:ilvl w:val="0"/>
          <w:numId w:val="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Segment to Acknowledgment Ratio: In this trace, each acknowledgment corresponds to exactly one data segment. The server replies with an ACK immediately after receiving every 4096-byte chunk, showing a 1:1 ratio with no delayed acknowledgments obser</w:t>
      </w:r>
      <w:r>
        <w:rPr>
          <w:highlight w:val="none"/>
        </w:rPr>
        <w:t xml:space="preserve">ved.</w:t>
      </w:r>
      <w:r>
        <w:rPr>
          <w:highlight w:val="none"/>
        </w:rPr>
      </w:r>
      <w:r>
        <w:rPr>
          <w:highlight w:val="none"/>
        </w:rPr>
      </w:r>
    </w:p>
    <w:p w14:paraId="728F745A">
      <w:pPr>
        <w:pStyle w:val="904"/>
        <w:numPr>
          <w:ilvl w:val="0"/>
          <w:numId w:val="2"/>
        </w:num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Cumulative Acknowledgment: TCP inherently uses cumulative acknowledgments. Every ACK number generated by the server confirms the successful receipt of all data bytes prior to that sequence number.</w:t>
      </w:r>
      <w:r>
        <w:rPr>
          <w:highlight w:val="none"/>
        </w:rPr>
      </w:r>
      <w:r>
        <w:rPr>
          <w:highlight w:val="none"/>
        </w:rPr>
      </w:r>
    </w:p>
    <w:p w14:paraId="5F13B815">
      <w:pPr>
        <w:shd w:val="nil" w:color="auto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 w14:paraId="67D19CD2">
      <w:pPr>
        <w:spacing/>
        <w:ind/>
        <w:rPr>
          <w:highlight w:val="none"/>
        </w:rPr>
      </w:pPr>
      <w:r>
        <w:rPr>
          <w:highlight w:val="none"/>
        </w:rPr>
        <w:t xml:space="preserve">Timing Diagram: </w:t>
      </w:r>
      <w:r>
        <w:rPr>
          <w:highlight w:val="none"/>
        </w:rPr>
      </w:r>
      <w:r>
        <w:rPr>
          <w:highlight w:val="none"/>
        </w:rPr>
      </w:r>
    </w:p>
    <w:p w14:paraId="5706527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528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593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943599" cy="30652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41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91EECC4">
      <w:pPr>
        <w:shd w:val="nil" w:color="auto"/>
        <w:spacing/>
        <w:ind/>
        <w:rPr>
          <w:highlight w:val="none"/>
        </w:rPr>
      </w:pPr>
      <w:r>
        <w:rPr>
          <w:highlight w:val="none"/>
        </w:rPr>
      </w:r>
      <w:r>
        <w:t xml:space="preserve">Step 5:</w:t>
      </w:r>
      <w:r>
        <w:rPr>
          <w:highlight w:val="none"/>
        </w:rPr>
      </w:r>
      <w:r>
        <w:rPr>
          <w:highlight w:val="none"/>
        </w:rPr>
      </w:r>
    </w:p>
    <w:p w14:paraId="36375BC3">
      <w:pPr>
        <w:pStyle w:val="904"/>
        <w:numPr>
          <w:ilvl w:val="0"/>
          <w:numId w:val="3"/>
        </w:numPr>
        <w:spacing/>
        <w:ind/>
        <w:rPr/>
      </w:pPr>
      <w:r>
        <w:t xml:space="preserve">Does the advertised receive window remain constant?</w:t>
      </w:r>
      <w:r/>
    </w:p>
    <w:p w14:paraId="7CEFA122">
      <w:pPr>
        <w:pStyle w:val="904"/>
        <w:numPr>
          <w:ilvl w:val="0"/>
          <w:numId w:val="4"/>
        </w:numPr>
        <w:spacing/>
        <w:ind/>
        <w:rPr/>
      </w:pPr>
      <w:r>
        <w:rPr>
          <w:highlight w:val="none"/>
        </w:rPr>
        <w:t xml:space="preserve">T</w:t>
      </w:r>
      <w:r>
        <w:rPr>
          <w:highlight w:val="none"/>
        </w:rPr>
        <w:t xml:space="preserve">h</w:t>
      </w:r>
      <w:r>
        <w:rPr>
          <w:highlight w:val="none"/>
        </w:rPr>
        <w:t xml:space="preserve">e advertised receive window from the server remains strictly constant at 100 across all data acknowledgment segments (Packets 5, 7, 9, 11, and 13). (Note: Because wscale 10 was negotiated during the SYN phase, this raw value of 100 technically scales to an</w:t>
      </w:r>
      <w:r>
        <w:rPr>
          <w:highlight w:val="none"/>
        </w:rPr>
        <w:t xml:space="preserve"> effective window of 102,400 bytes).</w:t>
      </w:r>
      <w:r>
        <w:rPr>
          <w:highlight w:val="none"/>
        </w:rPr>
      </w:r>
      <w:r/>
    </w:p>
    <w:p w14:paraId="512D21CD">
      <w:pPr>
        <w:pStyle w:val="904"/>
        <w:numPr>
          <w:ilvl w:val="0"/>
          <w:numId w:val="3"/>
        </w:numPr>
        <w:spacing/>
        <w:ind/>
        <w:rPr/>
      </w:pPr>
      <w:r>
        <w:t xml:space="preserve">If it changes, what could be the reason?</w:t>
      </w:r>
      <w:r/>
    </w:p>
    <w:p w14:paraId="63C34CEF">
      <w:pPr>
        <w:pStyle w:val="904"/>
        <w:numPr>
          <w:ilvl w:val="0"/>
          <w:numId w:val="5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Whil</w:t>
      </w:r>
      <w:r>
        <w:rPr>
          <w:highlight w:val="none"/>
        </w:rPr>
        <w:t xml:space="preserve">e it did not change in this trace, a changing receive window occurs when the application layer on the receiving machine reads data out of the TCP buffer at a different rate than the sender is transmitting it. If the buffer fills, the window decreases and a</w:t>
      </w:r>
      <w:r>
        <w:rPr>
          <w:highlight w:val="none"/>
        </w:rPr>
        <w:t xml:space="preserve">s the application empties the buffer, the window increases.</w:t>
      </w:r>
      <w:r>
        <w:rPr>
          <w:highlight w:val="none"/>
        </w:rPr>
      </w:r>
      <w:r/>
    </w:p>
    <w:p w14:paraId="57286160">
      <w:pPr>
        <w:pStyle w:val="904"/>
        <w:numPr>
          <w:ilvl w:val="0"/>
          <w:numId w:val="3"/>
        </w:numPr>
        <w:spacing/>
        <w:ind/>
        <w:rPr/>
      </w:pPr>
      <w:r>
        <w:t xml:space="preserve">What is the purpose of the TCP receive window?</w:t>
      </w:r>
      <w:r/>
    </w:p>
    <w:p w14:paraId="6AF27BED">
      <w:pPr>
        <w:pStyle w:val="904"/>
        <w:numPr>
          <w:ilvl w:val="0"/>
          <w:numId w:val="6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It advertises the amount of available buffer space on the receiving host. It acts as an indicator to the sender of how much additional data the receiver can currently accept.</w:t>
      </w:r>
      <w:r>
        <w:rPr>
          <w:highlight w:val="none"/>
        </w:rPr>
      </w:r>
      <w:r/>
    </w:p>
    <w:p w14:paraId="7043F9EC">
      <w:pPr>
        <w:pStyle w:val="904"/>
        <w:numPr>
          <w:ilvl w:val="0"/>
          <w:numId w:val="3"/>
        </w:numPr>
        <w:spacing/>
        <w:ind/>
        <w:rPr/>
      </w:pPr>
      <w:r>
        <w:t xml:space="preserve">How does the receive window contribute to TCP flow control?</w:t>
      </w:r>
      <w:r/>
    </w:p>
    <w:p w14:paraId="43B6C168">
      <w:pPr>
        <w:pStyle w:val="904"/>
        <w:numPr>
          <w:ilvl w:val="0"/>
          <w:numId w:val="7"/>
        </w:numPr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I</w:t>
      </w:r>
      <w:r>
        <w:rPr>
          <w:highlight w:val="none"/>
        </w:rPr>
        <w:t xml:space="preserve">t prevents a fast sender from overwhelming a slow receiver. By tracking the receiver's window size, the sender restricts its number of "in-flight" (unacknowledged) bytes. If the advertised window reaches zero, the sender will pause transmission until the r</w:t>
      </w:r>
      <w:r>
        <w:rPr>
          <w:highlight w:val="none"/>
        </w:rPr>
        <w:t xml:space="preserve">eceiver advertises a non-zero window.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4D7E7C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5109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5842C7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9013940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064A49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F3949EC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C4E2C88"/>
    <w:lvl w:ilvl="0">
      <w:isLgl w:val="false"/>
      <w:lvlJc w:val="left"/>
      <w:lvlText w:val="–"/>
      <w:numFmt w:val="bullet"/>
      <w:pPr>
        <w:pBdr/>
        <w:spacing/>
        <w:ind w:hanging="360" w:left="142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900"/>
    <w:next w:val="900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900"/>
    <w:next w:val="900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900"/>
    <w:next w:val="900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900"/>
    <w:next w:val="900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900"/>
    <w:next w:val="900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900"/>
    <w:next w:val="900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900"/>
    <w:next w:val="900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900"/>
    <w:next w:val="900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900"/>
    <w:next w:val="900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0" w:default="1">
    <w:name w:val="Default Paragraph Font"/>
    <w:uiPriority w:val="1"/>
    <w:semiHidden/>
    <w:unhideWhenUsed/>
    <w:pPr>
      <w:pBdr/>
      <w:spacing/>
      <w:ind/>
    </w:pPr>
  </w:style>
  <w:style w:type="character" w:styleId="851">
    <w:name w:val="Heading 1 Char"/>
    <w:basedOn w:val="850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50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50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50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50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50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50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50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50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0">
    <w:name w:val="Title"/>
    <w:basedOn w:val="900"/>
    <w:next w:val="900"/>
    <w:link w:val="8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1">
    <w:name w:val="Title Char"/>
    <w:basedOn w:val="850"/>
    <w:link w:val="8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2">
    <w:name w:val="Subtitle"/>
    <w:basedOn w:val="900"/>
    <w:next w:val="900"/>
    <w:link w:val="8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3">
    <w:name w:val="Subtitle Char"/>
    <w:basedOn w:val="850"/>
    <w:link w:val="8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4">
    <w:name w:val="Quote"/>
    <w:basedOn w:val="900"/>
    <w:next w:val="900"/>
    <w:link w:val="8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5">
    <w:name w:val="Quote Char"/>
    <w:basedOn w:val="850"/>
    <w:link w:val="8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Intense Emphasis"/>
    <w:basedOn w:val="85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900"/>
    <w:next w:val="900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50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5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0">
    <w:name w:val="Subtle Emphasis"/>
    <w:basedOn w:val="85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50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50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5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5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5">
    <w:name w:val="Header"/>
    <w:basedOn w:val="900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Header Char"/>
    <w:basedOn w:val="850"/>
    <w:link w:val="875"/>
    <w:uiPriority w:val="99"/>
    <w:pPr>
      <w:pBdr/>
      <w:spacing/>
      <w:ind/>
    </w:pPr>
  </w:style>
  <w:style w:type="paragraph" w:styleId="877">
    <w:name w:val="Footer"/>
    <w:basedOn w:val="900"/>
    <w:link w:val="8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8">
    <w:name w:val="Footer Char"/>
    <w:basedOn w:val="850"/>
    <w:link w:val="877"/>
    <w:uiPriority w:val="99"/>
    <w:pPr>
      <w:pBdr/>
      <w:spacing/>
      <w:ind/>
    </w:pPr>
  </w:style>
  <w:style w:type="paragraph" w:styleId="879">
    <w:name w:val="Caption"/>
    <w:basedOn w:val="900"/>
    <w:next w:val="90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0">
    <w:name w:val="footnote text"/>
    <w:basedOn w:val="900"/>
    <w:link w:val="8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1">
    <w:name w:val="Footnote Text Char"/>
    <w:basedOn w:val="850"/>
    <w:link w:val="880"/>
    <w:uiPriority w:val="99"/>
    <w:semiHidden/>
    <w:pPr>
      <w:pBdr/>
      <w:spacing/>
      <w:ind/>
    </w:pPr>
    <w:rPr>
      <w:sz w:val="20"/>
      <w:szCs w:val="20"/>
    </w:rPr>
  </w:style>
  <w:style w:type="character" w:styleId="882">
    <w:name w:val="foot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paragraph" w:styleId="883">
    <w:name w:val="endnote text"/>
    <w:basedOn w:val="900"/>
    <w:link w:val="8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4">
    <w:name w:val="Endnote Text Char"/>
    <w:basedOn w:val="850"/>
    <w:link w:val="883"/>
    <w:uiPriority w:val="99"/>
    <w:semiHidden/>
    <w:pPr>
      <w:pBdr/>
      <w:spacing/>
      <w:ind/>
    </w:pPr>
    <w:rPr>
      <w:sz w:val="20"/>
      <w:szCs w:val="20"/>
    </w:rPr>
  </w:style>
  <w:style w:type="character" w:styleId="885">
    <w:name w:val="endnote reference"/>
    <w:basedOn w:val="850"/>
    <w:uiPriority w:val="99"/>
    <w:semiHidden/>
    <w:unhideWhenUsed/>
    <w:pPr>
      <w:pBdr/>
      <w:spacing/>
      <w:ind/>
    </w:pPr>
    <w:rPr>
      <w:vertAlign w:val="superscript"/>
    </w:rPr>
  </w:style>
  <w:style w:type="character" w:styleId="886">
    <w:name w:val="Hyperlink"/>
    <w:basedOn w:val="85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7">
    <w:name w:val="FollowedHyperlink"/>
    <w:basedOn w:val="85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8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89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0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1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2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3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4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5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6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7">
    <w:name w:val="Placeholder Text"/>
    <w:basedOn w:val="850"/>
    <w:uiPriority w:val="99"/>
    <w:semiHidden/>
    <w:pPr>
      <w:pBdr/>
      <w:spacing/>
      <w:ind/>
    </w:pPr>
    <w:rPr>
      <w:color w:val="666666"/>
    </w:rPr>
  </w:style>
  <w:style w:type="paragraph" w:styleId="898">
    <w:name w:val="TOC Heading"/>
    <w:uiPriority w:val="39"/>
    <w:unhideWhenUsed/>
    <w:pPr>
      <w:pBdr/>
      <w:spacing/>
      <w:ind/>
    </w:p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paragraph" w:styleId="903">
    <w:name w:val="No Spacing"/>
    <w:basedOn w:val="900"/>
    <w:uiPriority w:val="1"/>
    <w:qFormat/>
    <w:pPr>
      <w:pBdr/>
      <w:spacing w:after="0" w:line="240" w:lineRule="auto"/>
      <w:ind/>
    </w:pPr>
  </w:style>
  <w:style w:type="paragraph" w:styleId="904">
    <w:name w:val="List Paragraph"/>
    <w:basedOn w:val="90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2026-10-25T10:15:25Z</dcterms:modified>
</cp:coreProperties>
</file>