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before="0" w:after="160"/>
        <w:jc w:val="center"/>
      </w:pPr>
      <w:r>
        <w:rPr>
          <w:rFonts w:ascii="Times New Roman" w:hAnsi="Times New Roman" w:eastAsia="仿宋"/>
          <w:b/>
          <w:color w:val="000000"/>
          <w:sz w:val="24"/>
        </w:rPr>
        <w:t>表7 替代DID估计方法的稳健性检验</w:t>
      </w:r>
    </w:p>
    <w:tbl>
      <w:tblPr>
        <w:tblStyle w:val="3"/>
        <w:tblW w:w="5000" w:type="pct"/>
        <w:jc w:val="center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none" w:color="FFFFFF" w:sz="0" w:space="0"/>
          <w:insideV w:val="none" w:color="FFFFFF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98"/>
        <w:gridCol w:w="1361"/>
        <w:gridCol w:w="907"/>
        <w:gridCol w:w="3742"/>
        <w:gridCol w:w="1207"/>
      </w:tblGrid>
      <w:tr w14:paraId="3E0AB741">
        <w:trPr>
          <w:cantSplit/>
          <w:tblHeader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single" w:sz="12" w:color="000000"/>
              <w:left w:val="nil"/>
              <w:bottom w:val="single" w:sz="6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18"/>
              </w:rPr>
              <w:t>估计方法</w:t>
            </w:r>
          </w:p>
        </w:tc>
        <w:tc>
          <w:tcPr>
            <w:tcW w:w="1361" w:type="dxa"/>
            <w:tcBorders>
              <w:top w:val="single" w:sz="12" w:color="000000"/>
              <w:left w:val="nil"/>
              <w:bottom w:val="single" w:sz="6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18"/>
              </w:rPr>
              <w:t>政策效应估计值</w:t>
            </w:r>
          </w:p>
        </w:tc>
        <w:tc>
          <w:tcPr>
            <w:tcW w:w="907" w:type="dxa"/>
            <w:tcBorders>
              <w:top w:val="single" w:sz="12" w:color="000000"/>
              <w:left w:val="nil"/>
              <w:bottom w:val="single" w:sz="6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18"/>
              </w:rPr>
              <w:t>标准误</w:t>
            </w:r>
          </w:p>
        </w:tc>
        <w:tc>
          <w:tcPr>
            <w:tcW w:w="3742" w:type="dxa"/>
            <w:tcBorders>
              <w:top w:val="single" w:sz="12" w:color="000000"/>
              <w:left w:val="nil"/>
              <w:bottom w:val="single" w:sz="6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18"/>
              </w:rPr>
              <w:t>效应汇总口径</w:t>
            </w:r>
          </w:p>
        </w:tc>
        <w:tc>
          <w:tcPr>
            <w:tcW w:w="1207" w:type="dxa"/>
            <w:tcBorders>
              <w:top w:val="single" w:sz="12" w:color="000000"/>
              <w:left w:val="nil"/>
              <w:bottom w:val="single" w:sz="6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/>
                <w:sz w:val="18"/>
              </w:rPr>
              <w:t>方法报告的N</w:t>
            </w:r>
          </w:p>
        </w:tc>
      </w:tr>
      <w:tr w14:paraId="371D23B4">
        <w:trPr>
          <w:cantSplit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TWFE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0.1141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***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0.0263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常数DID系数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3,280</w:t>
            </w:r>
          </w:p>
        </w:tc>
      </w:tr>
      <w:tr w14:paraId="371D23B4">
        <w:trPr>
          <w:cantSplit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Callaway–Sant’Anna（CS）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0.0800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**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0.0331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整体ATT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3,280</w:t>
            </w:r>
          </w:p>
        </w:tc>
      </w:tr>
      <w:tr w14:paraId="371D23B4">
        <w:trPr>
          <w:cantSplit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Sun–Abraham（SA）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0.2322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***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0.0318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政策后0—5期动态效应的等权均值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3,280</w:t>
            </w:r>
          </w:p>
        </w:tc>
      </w:tr>
      <w:tr w14:paraId="371D23B4">
        <w:trPr>
          <w:cantSplit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Stacked DID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0.0861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***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0.0205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2017、2018、2019批次，窗口为［−3，3］的栈内DID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3,067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a</w:t>
            </w:r>
          </w:p>
        </w:tc>
      </w:tr>
      <w:tr w14:paraId="371D23B4">
        <w:trPr>
          <w:cantSplit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did2s</w:t>
            </w:r>
          </w:p>
        </w:tc>
        <w:tc>
          <w:tcPr>
            <w:tcW w:w="136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0.1824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***</w:t>
            </w:r>
          </w:p>
        </w:tc>
        <w:tc>
          <w:tcPr>
            <w:tcW w:w="9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0.0308</w:t>
            </w:r>
          </w:p>
        </w:tc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两阶段DID系数</w:t>
            </w:r>
          </w:p>
        </w:tc>
        <w:tc>
          <w:tcPr>
            <w:tcW w:w="120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3,280</w:t>
            </w:r>
          </w:p>
        </w:tc>
      </w:tr>
      <w:tr w14:paraId="371D23B4">
        <w:trPr>
          <w:cantSplit/>
        </w:trPr>
        <w:tblPrEx>
          <w:tblBorders>
            <w:top w:val="none" w:color="FFFFFF" w:sz="0" w:space="0"/>
            <w:left w:val="none" w:color="FFFFFF" w:sz="0" w:space="0"/>
            <w:bottom w:val="none" w:color="FFFFFF" w:sz="0" w:space="0"/>
            <w:right w:val="none" w:color="FFFFFF" w:sz="0" w:space="0"/>
            <w:insideH w:val="none" w:color="FFFFFF" w:sz="0" w:space="0"/>
            <w:insideV w:val="none" w:color="FFFFFF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98" w:type="dxa"/>
            <w:tcBorders>
              <w:top w:val="nil"/>
              <w:left w:val="nil"/>
              <w:bottom w:val="single" w:sz="12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dCDH</w:t>
            </w:r>
          </w:p>
        </w:tc>
        <w:tc>
          <w:tcPr>
            <w:tcW w:w="1361" w:type="dxa"/>
            <w:tcBorders>
              <w:top w:val="nil"/>
              <w:left w:val="nil"/>
              <w:bottom w:val="single" w:sz="12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0.0845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***</w:t>
            </w:r>
          </w:p>
        </w:tc>
        <w:tc>
          <w:tcPr>
            <w:tcW w:w="907" w:type="dxa"/>
            <w:tcBorders>
              <w:top w:val="nil"/>
              <w:left w:val="nil"/>
              <w:bottom w:val="single" w:sz="12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0.0194</w:t>
            </w:r>
          </w:p>
        </w:tc>
        <w:tc>
          <w:tcPr>
            <w:tcW w:w="3742" w:type="dxa"/>
            <w:tcBorders>
              <w:top w:val="nil"/>
              <w:left w:val="nil"/>
              <w:bottom w:val="single" w:sz="12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left"/>
            </w:pPr>
            <w:r>
              <w:rPr>
                <w:rFonts w:ascii="Times New Roman" w:hAnsi="Times New Roman" w:eastAsia="仿宋"/>
                <w:b w:val="0"/>
                <w:sz w:val="18"/>
              </w:rPr>
              <w:t>命令报告的平均累计总效应，设定effects(4)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12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>
            <w:pPr>
              <w:spacing w:before="80" w:after="80" w:line="276" w:lineRule="auto"/>
              <w:jc w:val="center"/>
            </w:pPr>
            <w:r>
              <w:rPr>
                <w:rFonts w:ascii="Times New Roman" w:hAnsi="Times New Roman" w:eastAsia="仿宋"/>
                <w:b w:val="0"/>
                <w:sz w:val="18"/>
              </w:rPr>
              <w:t>1,387</w:t>
            </w:r>
            <w:r>
              <w:rPr>
                <w:rFonts w:ascii="Times New Roman" w:hAnsi="Times New Roman" w:eastAsia="仿宋"/>
                <w:b w:val="0"/>
                <w:sz w:val="18"/>
                <w:vertAlign w:val="superscript"/>
              </w:rPr>
              <w:t>b</w:t>
            </w:r>
          </w:p>
        </w:tc>
      </w:tr>
    </w:tbl>
    <w:p>
      <w:pPr>
        <w:spacing w:before="100" w:after="60" w:line="276" w:lineRule="auto"/>
      </w:pPr>
      <w:r>
        <w:rPr>
          <w:rFonts w:ascii="Times New Roman" w:hAnsi="Times New Roman" w:eastAsia="仿宋"/>
          <w:color w:val="000000"/>
          <w:sz w:val="18"/>
        </w:rPr>
        <w:t>注：各方法使用与基准模型相同的八项控制变量，标准误聚类至城市层面。TWFE和SA的回归吸收城市及年份固定效应；Stacked DID吸收城市×堆叠批次及年份×堆叠批次固定效应；did2s在第一阶段纳入城市及年份固定效应。CS和dCDH按各自的差分比较构造估计。</w:t>
      </w:r>
    </w:p>
    <w:p>
      <w:pPr>
        <w:spacing w:before="0" w:after="60" w:line="276" w:lineRule="auto"/>
      </w:pPr>
      <w:r>
        <w:rPr>
          <w:rFonts w:ascii="Times New Roman" w:hAnsi="Times New Roman" w:eastAsia="仿宋"/>
          <w:color w:val="000000"/>
          <w:sz w:val="18"/>
        </w:rPr>
        <w:t>a Stacked DID的N为堆叠后的城市—年份—批次记录数；b dCDH的N为命令报告的平均总效应估计所使用的观测数。各方法的样本支持、比较组及效应聚合方式存在差异，估计值应结合相应汇总口径解释。</w:t>
      </w:r>
    </w:p>
    <w:p>
      <w:pPr>
        <w:spacing w:before="0" w:after="60" w:line="276" w:lineRule="auto"/>
      </w:pPr>
      <w:r>
        <w:rPr>
          <w:rFonts w:ascii="Times New Roman" w:hAnsi="Times New Roman" w:eastAsia="仿宋"/>
          <w:color w:val="000000"/>
          <w:sz w:val="18"/>
        </w:rPr>
        <w:t>*、**、***分别表示10%、5%、1%的显著性水平。</w:t>
      </w:r>
    </w:p>
    <w:sectPr w:rsidR="00FC693F" w:rsidRPr="0006063C" w:rsidSect="00034616">
      <w:pgSz w:w="11906" w:h="16838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