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3950ca094a92094b1f8430b656dbaf1c7c1af0"/>
    <w:p>
      <w:pPr>
        <w:pStyle w:val="Heading1"/>
      </w:pPr>
      <w:r>
        <w:t xml:space="preserve">Memorandum &amp; Articles of Association — Kilter Limited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for Ghana lawyer review. Not for filing.</w:t>
      </w:r>
      <w:r>
        <w:t xml:space="preserve"> </w:t>
      </w:r>
      <w:r>
        <w:rPr>
          <w:b/>
          <w:bCs/>
        </w:rPr>
        <w:t xml:space="preserve">Jurisdiction:</w:t>
      </w:r>
      <w:r>
        <w:t xml:space="preserve"> </w:t>
      </w:r>
      <w:r>
        <w:t xml:space="preserve">Republic of Ghana — Companies Act, 2019 (Act 992).</w:t>
      </w:r>
      <w:r>
        <w:t xml:space="preserve"> </w:t>
      </w:r>
      <w:r>
        <w:rPr>
          <w:b/>
          <w:bCs/>
        </w:rPr>
        <w:t xml:space="preserve">Form:</w:t>
      </w:r>
      <w:r>
        <w:t xml:space="preserve"> </w:t>
      </w:r>
      <w:r>
        <w:t xml:space="preserve">Private Company Limited by Shares.</w:t>
      </w:r>
    </w:p>
    <w:p>
      <w:r>
        <w:pict>
          <v:rect style="width:0;height:1.5pt" o:hralign="center" o:hrstd="t" o:hr="t"/>
        </w:pict>
      </w:r>
    </w:p>
    <w:bookmarkStart w:id="19" w:name="memorandum-of-association"/>
    <w:p>
      <w:pPr>
        <w:pStyle w:val="Heading2"/>
      </w:pPr>
      <w:r>
        <w:t xml:space="preserve">1. Memorandum of Association</w:t>
      </w:r>
    </w:p>
    <w:bookmarkStart w:id="9" w:name="name"/>
    <w:p>
      <w:pPr>
        <w:pStyle w:val="Heading3"/>
      </w:pPr>
      <w:r>
        <w:t xml:space="preserve">1.1 Name</w:t>
      </w:r>
    </w:p>
    <w:p>
      <w:pPr>
        <w:pStyle w:val="FirstParagraph"/>
      </w:pPr>
      <w:r>
        <w:t xml:space="preserve">The name of the Company is</w:t>
      </w:r>
      <w:r>
        <w:t xml:space="preserve"> </w:t>
      </w:r>
      <w:r>
        <w:rPr>
          <w:b/>
          <w:bCs/>
        </w:rPr>
        <w:t xml:space="preserve">KILTER LIMITED</w:t>
      </w:r>
      <w:r>
        <w:t xml:space="preserve"> </w:t>
      </w:r>
      <w:r>
        <w:t xml:space="preserve">(the</w:t>
      </w:r>
      <w:r>
        <w:t xml:space="preserve"> </w:t>
      </w:r>
      <w:r>
        <w:t xml:space="preserve">“Company”</w:t>
      </w:r>
      <w:r>
        <w:t xml:space="preserve">).</w:t>
      </w:r>
    </w:p>
    <w:p>
      <w:pPr>
        <w:pStyle w:val="BlockText"/>
      </w:pPr>
      <w:r>
        <w:t xml:space="preserve">Lawyer note: Run a name-availability search at the Office of the Registrar</w:t>
      </w:r>
      <w:r>
        <w:t xml:space="preserve"> </w:t>
      </w:r>
      <w:r>
        <w:t xml:space="preserve">of Companies (ORC) before signing. Reserve the name for 30 days. If</w:t>
      </w:r>
      <w:r>
        <w:t xml:space="preserve"> </w:t>
      </w:r>
      <w:r>
        <w:t xml:space="preserve">“Kilter</w:t>
      </w:r>
      <w:r>
        <w:t xml:space="preserve"> </w:t>
      </w:r>
      <w:r>
        <w:t xml:space="preserve">Limited”</w:t>
      </w:r>
      <w:r>
        <w:t xml:space="preserve"> </w:t>
      </w:r>
      <w:r>
        <w:t xml:space="preserve">is taken, fallbacks in order of preference: Kilter Technologies</w:t>
      </w:r>
      <w:r>
        <w:t xml:space="preserve"> </w:t>
      </w:r>
      <w:r>
        <w:t xml:space="preserve">Limited, Kilter Software Limited, Kilter Reconciliation Limited.</w:t>
      </w:r>
    </w:p>
    <w:bookmarkEnd w:id="9"/>
    <w:bookmarkStart w:id="10" w:name="registered-office"/>
    <w:p>
      <w:pPr>
        <w:pStyle w:val="Heading3"/>
      </w:pPr>
      <w:r>
        <w:t xml:space="preserve">1.2 Registered Office</w:t>
      </w:r>
    </w:p>
    <w:p>
      <w:pPr>
        <w:pStyle w:val="FirstParagraph"/>
      </w:pPr>
      <w:r>
        <w:t xml:space="preserve">The registered office of the Company shall be situated in Ghana at:</w:t>
      </w:r>
    </w:p>
    <w:p>
      <w:pPr>
        <w:pStyle w:val="BlockText"/>
      </w:pPr>
      <w:r>
        <w:t xml:space="preserve">[REGISTERED OFFICE ADDRESS — typically the lawyer’s chambers or a serviced</w:t>
      </w:r>
      <w:r>
        <w:t xml:space="preserve"> </w:t>
      </w:r>
      <w:r>
        <w:t xml:space="preserve">office for the first 12 months. Must be a physical Ghanaian address; PO</w:t>
      </w:r>
      <w:r>
        <w:t xml:space="preserve"> </w:t>
      </w:r>
      <w:r>
        <w:t xml:space="preserve">Box alone is not acceptable. Required for ORC registration and tax.]</w:t>
      </w:r>
    </w:p>
    <w:bookmarkEnd w:id="10"/>
    <w:bookmarkStart w:id="11" w:name="objects-authorised-business"/>
    <w:p>
      <w:pPr>
        <w:pStyle w:val="Heading3"/>
      </w:pPr>
      <w:r>
        <w:t xml:space="preserve">1.3 Objects (Authorised Business)</w:t>
      </w:r>
    </w:p>
    <w:p>
      <w:pPr>
        <w:pStyle w:val="FirstParagraph"/>
      </w:pPr>
      <w:r>
        <w:t xml:space="preserve">The objects for which the Company is established are:</w:t>
      </w:r>
    </w:p>
    <w:p>
      <w:pPr>
        <w:numPr>
          <w:ilvl w:val="0"/>
          <w:numId w:val="1001"/>
        </w:numPr>
      </w:pPr>
      <w:r>
        <w:t xml:space="preserve">To design, develop, license, maintain, support, host, and otherwise</w:t>
      </w:r>
      <w:r>
        <w:t xml:space="preserve"> </w:t>
      </w:r>
      <w:r>
        <w:t xml:space="preserve">commercialise computer software, software-as-a-service products, and</w:t>
      </w:r>
      <w:r>
        <w:t xml:space="preserve"> </w:t>
      </w:r>
      <w:r>
        <w:t xml:space="preserve">related technology — including without limitation the software product</w:t>
      </w:r>
      <w:r>
        <w:t xml:space="preserve"> </w:t>
      </w:r>
      <w:r>
        <w:t xml:space="preserve">presently known as</w:t>
      </w:r>
      <w:r>
        <w:t xml:space="preserve"> </w:t>
      </w:r>
      <w:r>
        <w:t xml:space="preserve">“Kilter,”</w:t>
      </w:r>
      <w:r>
        <w:t xml:space="preserve"> </w:t>
      </w:r>
      <w:r>
        <w:t xml:space="preserve">a financial reconciliation and treasury</w:t>
      </w:r>
      <w:r>
        <w:t xml:space="preserve"> </w:t>
      </w:r>
      <w:r>
        <w:t xml:space="preserve">operations platform.</w:t>
      </w:r>
    </w:p>
    <w:p>
      <w:pPr>
        <w:numPr>
          <w:ilvl w:val="0"/>
          <w:numId w:val="1001"/>
        </w:numPr>
      </w:pPr>
      <w:r>
        <w:t xml:space="preserve">To provide professional services in connection with the foregoing,</w:t>
      </w:r>
      <w:r>
        <w:t xml:space="preserve"> </w:t>
      </w:r>
      <w:r>
        <w:t xml:space="preserve">including implementation, integration, configuration, training,</w:t>
      </w:r>
      <w:r>
        <w:t xml:space="preserve"> </w:t>
      </w:r>
      <w:r>
        <w:t xml:space="preserve">consultancy, technical support, and managed services.</w:t>
      </w:r>
    </w:p>
    <w:p>
      <w:pPr>
        <w:numPr>
          <w:ilvl w:val="0"/>
          <w:numId w:val="1001"/>
        </w:numPr>
      </w:pPr>
      <w:r>
        <w:t xml:space="preserve">To process, parse, transform, store, and analyse financial messaging</w:t>
      </w:r>
      <w:r>
        <w:t xml:space="preserve"> </w:t>
      </w:r>
      <w:r>
        <w:t xml:space="preserve">data (including but not limited to SWIFT MT, ISO 20022, and proprietary</w:t>
      </w:r>
      <w:r>
        <w:t xml:space="preserve"> </w:t>
      </w:r>
      <w:r>
        <w:t xml:space="preserve">bank message formats) on behalf of customers, subject to applicable</w:t>
      </w:r>
      <w:r>
        <w:t xml:space="preserve"> </w:t>
      </w:r>
      <w:r>
        <w:t xml:space="preserve">data-protection law.</w:t>
      </w:r>
    </w:p>
    <w:p>
      <w:pPr>
        <w:numPr>
          <w:ilvl w:val="0"/>
          <w:numId w:val="1001"/>
        </w:numPr>
      </w:pPr>
      <w:r>
        <w:t xml:space="preserve">To enter into licensing, reseller, distribution, partnership, and</w:t>
      </w:r>
      <w:r>
        <w:t xml:space="preserve"> </w:t>
      </w:r>
      <w:r>
        <w:t xml:space="preserve">sub-contract arrangements with banks, financial institutions, software</w:t>
      </w:r>
      <w:r>
        <w:t xml:space="preserve"> </w:t>
      </w:r>
      <w:r>
        <w:t xml:space="preserve">vendors, system integrators, and other counterparties in Ghana and</w:t>
      </w:r>
      <w:r>
        <w:t xml:space="preserve"> </w:t>
      </w:r>
      <w:r>
        <w:t xml:space="preserve">abroad.</w:t>
      </w:r>
    </w:p>
    <w:p>
      <w:pPr>
        <w:numPr>
          <w:ilvl w:val="0"/>
          <w:numId w:val="1001"/>
        </w:numPr>
      </w:pPr>
      <w:r>
        <w:t xml:space="preserve">To acquire, hold, register, license, sub-license, defend, and otherwise</w:t>
      </w:r>
      <w:r>
        <w:t xml:space="preserve"> </w:t>
      </w:r>
      <w:r>
        <w:t xml:space="preserve">deal in intellectual property rights — including copyrights,</w:t>
      </w:r>
      <w:r>
        <w:t xml:space="preserve"> </w:t>
      </w:r>
      <w:r>
        <w:t xml:space="preserve">trademarks, patents, trade secrets, and database rights — relating to</w:t>
      </w:r>
      <w:r>
        <w:t xml:space="preserve"> </w:t>
      </w:r>
      <w:r>
        <w:t xml:space="preserve">the Company’s products and services.</w:t>
      </w:r>
    </w:p>
    <w:p>
      <w:pPr>
        <w:numPr>
          <w:ilvl w:val="0"/>
          <w:numId w:val="1001"/>
        </w:numPr>
      </w:pPr>
      <w:r>
        <w:t xml:space="preserve">To do all such other things as are incidental or conducive to the</w:t>
      </w:r>
      <w:r>
        <w:t xml:space="preserve"> </w:t>
      </w:r>
      <w:r>
        <w:t xml:space="preserve">attainment of the foregoing objects.</w:t>
      </w:r>
    </w:p>
    <w:p>
      <w:pPr>
        <w:pStyle w:val="BlockText"/>
      </w:pPr>
      <w:r>
        <w:t xml:space="preserve">Lawyer note: Ghana’s Companies Act 2019 permits unlimited objects (s.18),</w:t>
      </w:r>
      <w:r>
        <w:t xml:space="preserve"> </w:t>
      </w:r>
      <w:r>
        <w:t xml:space="preserve">but stating a focused objects clause helps with bank-account opening,</w:t>
      </w:r>
      <w:r>
        <w:t xml:space="preserve"> </w:t>
      </w:r>
      <w:r>
        <w:t xml:space="preserve">investor due diligence, and tax classification. Avoid generic</w:t>
      </w:r>
      <w:r>
        <w:t xml:space="preserve"> </w:t>
      </w:r>
      <w:r>
        <w:t xml:space="preserve">“all-business”</w:t>
      </w:r>
      <w:r>
        <w:t xml:space="preserve"> </w:t>
      </w:r>
      <w:r>
        <w:t xml:space="preserve">language — banks dislike it.</w:t>
      </w:r>
    </w:p>
    <w:bookmarkEnd w:id="11"/>
    <w:bookmarkStart w:id="12" w:name="powers"/>
    <w:p>
      <w:pPr>
        <w:pStyle w:val="Heading3"/>
      </w:pPr>
      <w:r>
        <w:t xml:space="preserve">1.4 Powers</w:t>
      </w:r>
    </w:p>
    <w:p>
      <w:pPr>
        <w:pStyle w:val="FirstParagraph"/>
      </w:pPr>
      <w:r>
        <w:t xml:space="preserve">The Company shall have all powers conferred on companies under the</w:t>
      </w:r>
      <w:r>
        <w:t xml:space="preserve"> </w:t>
      </w:r>
      <w:r>
        <w:t xml:space="preserve">Companies Act, 2019 (Act 992) and any subsequent amendment thereto,</w:t>
      </w:r>
      <w:r>
        <w:t xml:space="preserve"> </w:t>
      </w:r>
      <w:r>
        <w:t xml:space="preserve">necessary or incidental to the attainment of its objects.</w:t>
      </w:r>
    </w:p>
    <w:bookmarkEnd w:id="12"/>
    <w:bookmarkStart w:id="13" w:name="liability-of-members"/>
    <w:p>
      <w:pPr>
        <w:pStyle w:val="Heading3"/>
      </w:pPr>
      <w:r>
        <w:t xml:space="preserve">1.5 Liability of Members</w:t>
      </w:r>
    </w:p>
    <w:p>
      <w:pPr>
        <w:pStyle w:val="FirstParagraph"/>
      </w:pPr>
      <w:r>
        <w:t xml:space="preserve">The liability of the members is</w:t>
      </w:r>
      <w:r>
        <w:t xml:space="preserve"> </w:t>
      </w:r>
      <w:r>
        <w:rPr>
          <w:b/>
          <w:bCs/>
        </w:rPr>
        <w:t xml:space="preserve">limited</w:t>
      </w:r>
      <w:r>
        <w:t xml:space="preserve"> </w:t>
      </w:r>
      <w:r>
        <w:t xml:space="preserve">to the amount, if any, unpaid</w:t>
      </w:r>
      <w:r>
        <w:t xml:space="preserve"> </w:t>
      </w:r>
      <w:r>
        <w:t xml:space="preserve">on the shares respectively held by them.</w:t>
      </w:r>
    </w:p>
    <w:bookmarkEnd w:id="13"/>
    <w:bookmarkStart w:id="14" w:name="stated-capital-and-shares"/>
    <w:p>
      <w:pPr>
        <w:pStyle w:val="Heading3"/>
      </w:pPr>
      <w:r>
        <w:t xml:space="preserve">1.6 Stated Capital and Shares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Authorised shares:</w:t>
      </w:r>
      <w:r>
        <w:t xml:space="preserve"> </w:t>
      </w:r>
      <w:r>
        <w:t xml:space="preserve">[10,000] ordinary shares of no par value.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Issued shares at incorporation:</w:t>
      </w:r>
      <w:r>
        <w:t xml:space="preserve"> </w:t>
      </w:r>
      <w:r>
        <w:t xml:space="preserve">[1,000] ordinary shares.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Initial stated capital:</w:t>
      </w:r>
      <w:r>
        <w:t xml:space="preserve"> </w:t>
      </w:r>
      <w:r>
        <w:t xml:space="preserve">GHS [10,000] (or such higher amount as the</w:t>
      </w:r>
      <w:r>
        <w:t xml:space="preserve"> </w:t>
      </w:r>
      <w:r>
        <w:t xml:space="preserve">subscribers contribute on subscription).</w:t>
      </w:r>
    </w:p>
    <w:p>
      <w:pPr>
        <w:pStyle w:val="BlockText"/>
      </w:pPr>
      <w:r>
        <w:t xml:space="preserve">Lawyer note: Ghana abolished par value under Act 992. Stated capital is</w:t>
      </w:r>
      <w:r>
        <w:t xml:space="preserve"> </w:t>
      </w:r>
      <w:r>
        <w:t xml:space="preserve">the cash/non-cash consideration actually received. Pick a figure that</w:t>
      </w:r>
      <w:r>
        <w:t xml:space="preserve"> </w:t>
      </w:r>
      <w:r>
        <w:t xml:space="preserve">covers your minimum capital requirement (currently GHS 500 for wholly</w:t>
      </w:r>
      <w:r>
        <w:t xml:space="preserve"> </w:t>
      </w:r>
      <w:r>
        <w:t xml:space="preserve">Ghanaian-owned companies — higher if foreign shareholders are involved;</w:t>
      </w:r>
      <w:r>
        <w:t xml:space="preserve"> </w:t>
      </w:r>
      <w:r>
        <w:t xml:space="preserve">see GIPC Act for thresholds).</w:t>
      </w:r>
    </w:p>
    <w:bookmarkEnd w:id="14"/>
    <w:bookmarkStart w:id="15" w:name="subscribers"/>
    <w:p>
      <w:pPr>
        <w:pStyle w:val="Heading3"/>
      </w:pPr>
      <w:r>
        <w:t xml:space="preserve">1.7 Subscribers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Subscriber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Shares Subscribed</w:t>
            </w:r>
          </w:p>
        </w:tc>
        <w:tc>
          <w:tcPr/>
          <w:p>
            <w:pPr>
              <w:pStyle w:val="Compact"/>
            </w:pPr>
            <w:r>
              <w:t xml:space="preserve">Consideration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[FOUNDER NAME]</w:t>
            </w:r>
          </w:p>
        </w:tc>
        <w:tc>
          <w:tcPr/>
          <w:p>
            <w:pPr>
              <w:pStyle w:val="Compact"/>
            </w:pPr>
            <w:r>
              <w:t xml:space="preserve">[ADDRESS]</w:t>
            </w:r>
          </w:p>
        </w:tc>
        <w:tc>
          <w:tcPr/>
          <w:p>
            <w:pPr>
              <w:pStyle w:val="Compact"/>
            </w:pPr>
            <w:r>
              <w:t xml:space="preserve">[1,000]</w:t>
            </w:r>
          </w:p>
        </w:tc>
        <w:tc>
          <w:tcPr/>
          <w:p>
            <w:pPr>
              <w:pStyle w:val="Compact"/>
            </w:pPr>
            <w:r>
              <w:t xml:space="preserve">GHS [10,000] cash</w:t>
            </w:r>
          </w:p>
        </w:tc>
      </w:tr>
    </w:tbl>
    <w:bookmarkEnd w:id="15"/>
    <w:bookmarkStart w:id="16" w:name="directors-at-incorporation"/>
    <w:p>
      <w:pPr>
        <w:pStyle w:val="Heading3"/>
      </w:pPr>
      <w:r>
        <w:t xml:space="preserve">1.8 Directors at Incorporation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[FOUNDER NAME]</w:t>
            </w:r>
          </w:p>
        </w:tc>
        <w:tc>
          <w:tcPr/>
          <w:p>
            <w:pPr>
              <w:pStyle w:val="Compact"/>
            </w:pPr>
            <w:r>
              <w:t xml:space="preserve">[ADDRESS]</w:t>
            </w:r>
          </w:p>
        </w:tc>
        <w:tc>
          <w:tcPr/>
          <w:p>
            <w:pPr>
              <w:pStyle w:val="Compact"/>
            </w:pPr>
            <w:r>
              <w:t xml:space="preserve">Sole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[SECOND DIRECTOR]</w:t>
            </w:r>
          </w:p>
        </w:tc>
        <w:tc>
          <w:tcPr/>
          <w:p>
            <w:pPr>
              <w:pStyle w:val="Compact"/>
            </w:pPr>
            <w:r>
              <w:t xml:space="preserve">[ADDRESS]</w:t>
            </w:r>
          </w:p>
        </w:tc>
        <w:tc>
          <w:tcPr/>
          <w:p>
            <w:pPr>
              <w:pStyle w:val="Compact"/>
            </w:pPr>
            <w:r>
              <w:t xml:space="preserve">Director</w:t>
            </w:r>
          </w:p>
        </w:tc>
      </w:tr>
    </w:tbl>
    <w:p>
      <w:pPr>
        <w:pStyle w:val="BlockText"/>
      </w:pPr>
      <w:r>
        <w:t xml:space="preserve">Lawyer note: Act 992 requires a minimum of two (2) directors, at least</w:t>
      </w:r>
      <w:r>
        <w:t xml:space="preserve"> </w:t>
      </w:r>
      <w:r>
        <w:t xml:space="preserve">one of whom must be ordinarily resident in Ghana. If you are the sole</w:t>
      </w:r>
      <w:r>
        <w:t xml:space="preserve"> </w:t>
      </w:r>
      <w:r>
        <w:t xml:space="preserve">founder and ordinarily resident in Ghana, you’ll need to appoint one</w:t>
      </w:r>
      <w:r>
        <w:t xml:space="preserve"> </w:t>
      </w:r>
      <w:r>
        <w:t xml:space="preserve">additional director — often a trusted family member or co-founder. The</w:t>
      </w:r>
      <w:r>
        <w:t xml:space="preserve"> </w:t>
      </w:r>
      <w:r>
        <w:t xml:space="preserve">second director need not hold shares.</w:t>
      </w:r>
    </w:p>
    <w:bookmarkEnd w:id="16"/>
    <w:bookmarkStart w:id="17" w:name="company-secretary"/>
    <w:p>
      <w:pPr>
        <w:pStyle w:val="Heading3"/>
      </w:pPr>
      <w:r>
        <w:t xml:space="preserve">1.9 Company Secretary</w:t>
      </w:r>
    </w:p>
    <w:p>
      <w:pPr>
        <w:pStyle w:val="FirstParagraph"/>
      </w:pPr>
      <w:r>
        <w:t xml:space="preserve">The first Company Secretary shall be: [NAME / FIRM].</w:t>
      </w:r>
    </w:p>
    <w:p>
      <w:pPr>
        <w:pStyle w:val="BlockText"/>
      </w:pPr>
      <w:r>
        <w:t xml:space="preserve">Lawyer note: A qualified company secretary is mandatory under Act 992</w:t>
      </w:r>
      <w:r>
        <w:t xml:space="preserve"> </w:t>
      </w:r>
      <w:r>
        <w:t xml:space="preserve">s.211. Most lawyers offer this service for ~GHS 1,500–3,000/year.</w:t>
      </w:r>
    </w:p>
    <w:bookmarkEnd w:id="17"/>
    <w:bookmarkStart w:id="18" w:name="auditor"/>
    <w:p>
      <w:pPr>
        <w:pStyle w:val="Heading3"/>
      </w:pPr>
      <w:r>
        <w:t xml:space="preserve">1.10 Auditor</w:t>
      </w:r>
    </w:p>
    <w:p>
      <w:pPr>
        <w:pStyle w:val="FirstParagraph"/>
      </w:pPr>
      <w:r>
        <w:t xml:space="preserve">The first Auditor of the Company shall be: [TO BE APPOINTED WITHIN 18</w:t>
      </w:r>
      <w:r>
        <w:t xml:space="preserve"> </w:t>
      </w:r>
      <w:r>
        <w:t xml:space="preserve">MONTHS OF INCORPORATION].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articles-of-association"/>
    <w:p>
      <w:pPr>
        <w:pStyle w:val="Heading2"/>
      </w:pPr>
      <w:r>
        <w:t xml:space="preserve">2. Articles of Association</w:t>
      </w:r>
    </w:p>
    <w:p>
      <w:pPr>
        <w:pStyle w:val="FirstParagraph"/>
      </w:pPr>
      <w:r>
        <w:t xml:space="preserve">The regulations contained in the</w:t>
      </w:r>
      <w:r>
        <w:t xml:space="preserve"> </w:t>
      </w:r>
      <w:r>
        <w:rPr>
          <w:b/>
          <w:bCs/>
        </w:rPr>
        <w:t xml:space="preserve">First Schedule (Table A)</w:t>
      </w:r>
      <w:r>
        <w:t xml:space="preserve"> </w:t>
      </w:r>
      <w:r>
        <w:t xml:space="preserve">of the</w:t>
      </w:r>
      <w:r>
        <w:t xml:space="preserve"> </w:t>
      </w:r>
      <w:r>
        <w:t xml:space="preserve">Companies Act, 2019 (Act 992) shall apply to the Company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to the</w:t>
      </w:r>
      <w:r>
        <w:t xml:space="preserve"> </w:t>
      </w:r>
      <w:r>
        <w:t xml:space="preserve">extent modified by the following provisions:</w:t>
      </w:r>
    </w:p>
    <w:bookmarkStart w:id="20" w:name="share-transfers-pre-emption"/>
    <w:p>
      <w:pPr>
        <w:pStyle w:val="Heading3"/>
      </w:pPr>
      <w:r>
        <w:t xml:space="preserve">2.1 Share Transfers — Pre-Emption</w:t>
      </w:r>
    </w:p>
    <w:p>
      <w:pPr>
        <w:pStyle w:val="FirstParagraph"/>
      </w:pPr>
      <w:r>
        <w:t xml:space="preserve">No member shall transfer any share to a person who is not already a member</w:t>
      </w:r>
      <w:r>
        <w:t xml:space="preserve"> </w:t>
      </w:r>
      <w:r>
        <w:t xml:space="preserve">of the Company without first offering such share to the existing members in</w:t>
      </w:r>
      <w:r>
        <w:t xml:space="preserve"> </w:t>
      </w:r>
      <w:r>
        <w:t xml:space="preserve">proportion to their existing holdings, on terms no less favourable than</w:t>
      </w:r>
      <w:r>
        <w:t xml:space="preserve"> </w:t>
      </w:r>
      <w:r>
        <w:t xml:space="preserve">those proposed to the third party. The board may decline to register any</w:t>
      </w:r>
      <w:r>
        <w:t xml:space="preserve"> </w:t>
      </w:r>
      <w:r>
        <w:t xml:space="preserve">transfer that does not comply with this article.</w:t>
      </w:r>
    </w:p>
    <w:bookmarkEnd w:id="20"/>
    <w:bookmarkStart w:id="21" w:name="drag-along-optional-discuss-with-lawyer"/>
    <w:p>
      <w:pPr>
        <w:pStyle w:val="Heading3"/>
      </w:pPr>
      <w:r>
        <w:t xml:space="preserve">2.2 Drag-Along (optional — discuss with lawyer)</w:t>
      </w:r>
    </w:p>
    <w:p>
      <w:pPr>
        <w:pStyle w:val="FirstParagraph"/>
      </w:pPr>
      <w:r>
        <w:t xml:space="preserve">If members holding [75%] or more of the issued shares accept a bona fide</w:t>
      </w:r>
      <w:r>
        <w:t xml:space="preserve"> </w:t>
      </w:r>
      <w:r>
        <w:t xml:space="preserve">arms-length offer for 100% of the issued shares, the remaining members</w:t>
      </w:r>
      <w:r>
        <w:t xml:space="preserve"> </w:t>
      </w:r>
      <w:r>
        <w:t xml:space="preserve">shall be required to sell their shares on the same terms.</w:t>
      </w:r>
    </w:p>
    <w:bookmarkEnd w:id="21"/>
    <w:bookmarkStart w:id="22" w:name="tag-along-optional-discuss-with-lawyer"/>
    <w:p>
      <w:pPr>
        <w:pStyle w:val="Heading3"/>
      </w:pPr>
      <w:r>
        <w:t xml:space="preserve">2.3 Tag-Along (optional — discuss with lawyer)</w:t>
      </w:r>
    </w:p>
    <w:p>
      <w:pPr>
        <w:pStyle w:val="FirstParagraph"/>
      </w:pPr>
      <w:r>
        <w:t xml:space="preserve">If a member proposes to sell shares constituting more than [50%] of the</w:t>
      </w:r>
      <w:r>
        <w:t xml:space="preserve"> </w:t>
      </w:r>
      <w:r>
        <w:t xml:space="preserve">issued shares to a third party, all other members shall be entitled to</w:t>
      </w:r>
      <w:r>
        <w:t xml:space="preserve"> </w:t>
      </w:r>
      <w:r>
        <w:t xml:space="preserve">participate in the sale on the same terms, pro rata to their holdings.</w:t>
      </w:r>
    </w:p>
    <w:bookmarkEnd w:id="22"/>
    <w:bookmarkStart w:id="23" w:name="X2ee51ee42f6e0eabcde4d8f8c10c0280f5ce234"/>
    <w:p>
      <w:pPr>
        <w:pStyle w:val="Heading3"/>
      </w:pPr>
      <w:r>
        <w:t xml:space="preserve">2.4 Reserved Matters Requiring Shareholder Approval</w:t>
      </w:r>
    </w:p>
    <w:p>
      <w:pPr>
        <w:pStyle w:val="FirstParagraph"/>
      </w:pPr>
      <w:r>
        <w:t xml:space="preserve">The following matters shall require the prior written approval of members</w:t>
      </w:r>
      <w:r>
        <w:t xml:space="preserve"> </w:t>
      </w:r>
      <w:r>
        <w:t xml:space="preserve">holding at least [75%] of the issued shares:</w:t>
      </w:r>
      <w:r>
        <w:t xml:space="preserve"> </w:t>
      </w:r>
      <w:r>
        <w:t xml:space="preserve">- Issue of new shares or convertible instruments.</w:t>
      </w:r>
      <w:r>
        <w:t xml:space="preserve"> </w:t>
      </w:r>
      <w:r>
        <w:t xml:space="preserve">- Alteration of the rights attaching to any class of shares.</w:t>
      </w:r>
      <w:r>
        <w:t xml:space="preserve"> </w:t>
      </w:r>
      <w:r>
        <w:t xml:space="preserve">- Sale, transfer, or licence of all or substantially all of the Company’s</w:t>
      </w:r>
      <w:r>
        <w:t xml:space="preserve"> </w:t>
      </w:r>
      <w:r>
        <w:t xml:space="preserve">intellectual property.</w:t>
      </w:r>
      <w:r>
        <w:t xml:space="preserve"> </w:t>
      </w:r>
      <w:r>
        <w:t xml:space="preserve">- Incurring debt in excess of GHS [500,000] in aggregate.</w:t>
      </w:r>
      <w:r>
        <w:t xml:space="preserve"> </w:t>
      </w:r>
      <w:r>
        <w:t xml:space="preserve">- Sale or merger of the Company.</w:t>
      </w:r>
      <w:r>
        <w:t xml:space="preserve"> </w:t>
      </w:r>
      <w:r>
        <w:t xml:space="preserve">- Voluntary winding-up.</w:t>
      </w:r>
    </w:p>
    <w:bookmarkEnd w:id="23"/>
    <w:bookmarkStart w:id="24" w:name="board-meetings"/>
    <w:p>
      <w:pPr>
        <w:pStyle w:val="Heading3"/>
      </w:pPr>
      <w:r>
        <w:t xml:space="preserve">2.5 Board Meetings</w:t>
      </w:r>
    </w:p>
    <w:p>
      <w:pPr>
        <w:pStyle w:val="FirstParagraph"/>
      </w:pPr>
      <w:r>
        <w:t xml:space="preserve">The board shall meet at least quarterly. A quorum shall be two (2)</w:t>
      </w:r>
      <w:r>
        <w:t xml:space="preserve"> </w:t>
      </w:r>
      <w:r>
        <w:t xml:space="preserve">directors. Meetings may be held by telephone or video conference.</w:t>
      </w:r>
    </w:p>
    <w:bookmarkEnd w:id="24"/>
    <w:bookmarkStart w:id="25" w:name="indemnity"/>
    <w:p>
      <w:pPr>
        <w:pStyle w:val="Heading3"/>
      </w:pPr>
      <w:r>
        <w:t xml:space="preserve">2.6 Indemnity</w:t>
      </w:r>
    </w:p>
    <w:p>
      <w:pPr>
        <w:pStyle w:val="FirstParagraph"/>
      </w:pPr>
      <w:r>
        <w:t xml:space="preserve">Subject to the Companies Act, every director, officer, and auditor shall be</w:t>
      </w:r>
      <w:r>
        <w:t xml:space="preserve"> </w:t>
      </w:r>
      <w:r>
        <w:t xml:space="preserve">indemnified out of the assets of the Company against any liability incurred</w:t>
      </w:r>
      <w:r>
        <w:t xml:space="preserve"> </w:t>
      </w:r>
      <w:r>
        <w:t xml:space="preserve">in the proper execution of their duties, save in respect of fraud or wilful</w:t>
      </w:r>
      <w:r>
        <w:t xml:space="preserve"> </w:t>
      </w:r>
      <w:r>
        <w:t xml:space="preserve">misconduct.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iling-checklist-for-the-lawyer"/>
    <w:p>
      <w:pPr>
        <w:pStyle w:val="Heading2"/>
      </w:pPr>
      <w:r>
        <w:t xml:space="preserve">3. Filing Checklist (for the lawyer)</w:t>
      </w:r>
    </w:p>
    <w:p>
      <w:pPr>
        <w:pStyle w:val="Compact"/>
        <w:numPr>
          <w:ilvl w:val="0"/>
          <w:numId w:val="1003"/>
        </w:numPr>
      </w:pPr>
      <w:r>
        <w:t xml:space="preserve">Form 3 — Application for Incorporation</w:t>
      </w:r>
    </w:p>
    <w:p>
      <w:pPr>
        <w:pStyle w:val="Compact"/>
        <w:numPr>
          <w:ilvl w:val="0"/>
          <w:numId w:val="1004"/>
        </w:numPr>
      </w:pPr>
      <w:r>
        <w:t xml:space="preserve">Form 4 — Beneficial Ownership Disclosure</w:t>
      </w:r>
    </w:p>
    <w:p>
      <w:pPr>
        <w:pStyle w:val="Compact"/>
        <w:numPr>
          <w:ilvl w:val="0"/>
          <w:numId w:val="1005"/>
        </w:numPr>
      </w:pPr>
      <w:r>
        <w:t xml:space="preserve">Director consent letters &amp; TINs (Tax Identification Numbers)</w:t>
      </w:r>
    </w:p>
    <w:p>
      <w:pPr>
        <w:pStyle w:val="Compact"/>
        <w:numPr>
          <w:ilvl w:val="0"/>
          <w:numId w:val="1006"/>
        </w:numPr>
      </w:pPr>
      <w:r>
        <w:t xml:space="preserve">Subscriber consent letters</w:t>
      </w:r>
    </w:p>
    <w:p>
      <w:pPr>
        <w:pStyle w:val="Compact"/>
        <w:numPr>
          <w:ilvl w:val="0"/>
          <w:numId w:val="1007"/>
        </w:numPr>
      </w:pPr>
      <w:r>
        <w:t xml:space="preserve">Company Secretary acceptance letter</w:t>
      </w:r>
    </w:p>
    <w:p>
      <w:pPr>
        <w:pStyle w:val="Compact"/>
        <w:numPr>
          <w:ilvl w:val="0"/>
          <w:numId w:val="1008"/>
        </w:numPr>
      </w:pPr>
      <w:r>
        <w:t xml:space="preserve">Auditor acceptance letter (or 18-month deferral note)</w:t>
      </w:r>
    </w:p>
    <w:p>
      <w:pPr>
        <w:pStyle w:val="Compact"/>
        <w:numPr>
          <w:ilvl w:val="0"/>
          <w:numId w:val="1009"/>
        </w:numPr>
      </w:pPr>
      <w:r>
        <w:t xml:space="preserve">Stamp duty payment evidence (0.5% of stated capital)</w:t>
      </w:r>
    </w:p>
    <w:p>
      <w:pPr>
        <w:pStyle w:val="Compact"/>
        <w:numPr>
          <w:ilvl w:val="0"/>
          <w:numId w:val="1010"/>
        </w:numPr>
      </w:pPr>
      <w:r>
        <w:t xml:space="preserve">Incorporation fee payment evidence (currently GHS 230 for online</w:t>
      </w:r>
      <w:r>
        <w:t xml:space="preserve"> </w:t>
      </w:r>
      <w:r>
        <w:t xml:space="preserve">filing as of 2026; verify on orc.gov.gh)</w:t>
      </w:r>
    </w:p>
    <w:p>
      <w:pPr>
        <w:pStyle w:val="Compact"/>
        <w:numPr>
          <w:ilvl w:val="0"/>
          <w:numId w:val="1011"/>
        </w:numPr>
      </w:pPr>
      <w:r>
        <w:t xml:space="preserve">Post-incorporation: register for VAT (if revenue &gt; GHS 200k/yr) and</w:t>
      </w:r>
      <w:r>
        <w:t xml:space="preserve"> </w:t>
      </w:r>
      <w:r>
        <w:t xml:space="preserve">Corporate Income Tax with GRA</w:t>
      </w:r>
    </w:p>
    <w:p>
      <w:pPr>
        <w:pStyle w:val="Compact"/>
        <w:numPr>
          <w:ilvl w:val="0"/>
          <w:numId w:val="1012"/>
        </w:numPr>
      </w:pPr>
      <w:r>
        <w:t xml:space="preserve">Post-incorporation: SSNIT registration once first employee hired</w:t>
      </w:r>
    </w:p>
    <w:p>
      <w:pPr>
        <w:pStyle w:val="Compact"/>
        <w:numPr>
          <w:ilvl w:val="0"/>
          <w:numId w:val="1013"/>
        </w:numPr>
      </w:pPr>
      <w:r>
        <w:t xml:space="preserve">Post-incorporation: open Ghanaian commercial bank account</w:t>
      </w:r>
    </w:p>
    <w:p>
      <w:pPr>
        <w:pStyle w:val="Compact"/>
        <w:numPr>
          <w:ilvl w:val="0"/>
          <w:numId w:val="1014"/>
        </w:numPr>
      </w:pPr>
      <w:r>
        <w:t xml:space="preserve">Post-incorporation: Data Protection Commission (DPC) registration if</w:t>
      </w:r>
      <w:r>
        <w:t xml:space="preserve"> </w:t>
      </w:r>
      <w:r>
        <w:t xml:space="preserve">processing personal data of Ghanaian residents</w:t>
      </w:r>
    </w:p>
    <w:p>
      <w:r>
        <w:pict>
          <v:rect style="width:0;height:1.5pt" o:hralign="center" o:hrstd="t" o:hr="t"/>
        </w:pict>
      </w:r>
    </w:p>
    <w:bookmarkEnd w:id="27"/>
    <w:bookmarkStart w:id="28" w:name="open-questions-for-the-lawyer"/>
    <w:p>
      <w:pPr>
        <w:pStyle w:val="Heading2"/>
      </w:pPr>
      <w:r>
        <w:t xml:space="preserve">4. Open Questions for the Lawyer</w:t>
      </w:r>
    </w:p>
    <w:p>
      <w:pPr>
        <w:pStyle w:val="Compact"/>
        <w:numPr>
          <w:ilvl w:val="0"/>
          <w:numId w:val="1015"/>
        </w:numPr>
      </w:pPr>
      <w:r>
        <w:t xml:space="preserve">Should the Company be a wholly Ghanaian-owned company, or do you</w:t>
      </w:r>
      <w:r>
        <w:t xml:space="preserve"> </w:t>
      </w:r>
      <w:r>
        <w:t xml:space="preserve">anticipate foreign investors? This affects minimum stated capital under</w:t>
      </w:r>
      <w:r>
        <w:t xml:space="preserve"> </w:t>
      </w:r>
      <w:r>
        <w:t xml:space="preserve">the GIPC Act.</w:t>
      </w:r>
    </w:p>
    <w:p>
      <w:pPr>
        <w:pStyle w:val="Compact"/>
        <w:numPr>
          <w:ilvl w:val="0"/>
          <w:numId w:val="1015"/>
        </w:numPr>
      </w:pPr>
      <w:r>
        <w:t xml:space="preserve">Do you want a holding/operating split (e.g., a Ghana Ltd OpCo and a</w:t>
      </w:r>
      <w:r>
        <w:t xml:space="preserve"> </w:t>
      </w:r>
      <w:r>
        <w:t xml:space="preserve">Delaware/UK HoldCo for future investor optics)? Cost: ~$5k more, but</w:t>
      </w:r>
      <w:r>
        <w:t xml:space="preserve"> </w:t>
      </w:r>
      <w:r>
        <w:t xml:space="preserve">common for fintech raising abroad.</w:t>
      </w:r>
    </w:p>
    <w:p>
      <w:pPr>
        <w:pStyle w:val="Compact"/>
        <w:numPr>
          <w:ilvl w:val="0"/>
          <w:numId w:val="1015"/>
        </w:numPr>
      </w:pPr>
      <w:r>
        <w:t xml:space="preserve">Should founder shares be subject to vesting (typically 4 years, 1-year</w:t>
      </w:r>
      <w:r>
        <w:t xml:space="preserve"> </w:t>
      </w:r>
      <w:r>
        <w:t xml:space="preserve">cliff) to protect future co-founders or investors?</w:t>
      </w:r>
    </w:p>
    <w:p>
      <w:pPr>
        <w:pStyle w:val="Compact"/>
        <w:numPr>
          <w:ilvl w:val="0"/>
          <w:numId w:val="1015"/>
        </w:numPr>
      </w:pPr>
      <w:r>
        <w:t xml:space="preserve">Will the Company hold the IP, or will the founder license it in via an</w:t>
      </w:r>
      <w:r>
        <w:t xml:space="preserve"> </w:t>
      </w:r>
      <w:r>
        <w:t xml:space="preserve">IP-assignment-on-incorporation? Recommended: full assignment to the</w:t>
      </w:r>
      <w:r>
        <w:t xml:space="preserve"> </w:t>
      </w:r>
      <w:r>
        <w:t xml:space="preserve">Company at incorporation in exchange for shares.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2026-04-25T17:23:05Z</dcterms:created>
  <dcterms:modified xsi:type="dcterms:W3CDTF">2026-04-25T17:23:05Z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