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ta-processing-addendum-kilter"/>
    <w:p>
      <w:pPr>
        <w:pStyle w:val="Heading1"/>
      </w:pPr>
      <w:r>
        <w:t xml:space="preserve">Data Processing Addendum — Kilter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lawyer review.</w:t>
      </w:r>
      <w:r>
        <w:t xml:space="preserve"> </w:t>
      </w:r>
      <w:r>
        <w:rPr>
          <w:b/>
          <w:bCs/>
        </w:rPr>
        <w:t xml:space="preserve">Form:</w:t>
      </w:r>
      <w:r>
        <w:t xml:space="preserve"> </w:t>
      </w:r>
      <w:r>
        <w:t xml:space="preserve">Stand-alone DPA, incorporated by reference into the MSA or</w:t>
      </w:r>
      <w:r>
        <w:t xml:space="preserve"> </w:t>
      </w:r>
      <w:r>
        <w:t xml:space="preserve">Pilot Agreement.</w:t>
      </w:r>
    </w:p>
    <w:p>
      <w:pPr>
        <w:pStyle w:val="BlockText"/>
      </w:pPr>
      <w:r>
        <w:t xml:space="preserve">Lawyer note: This DPA is drafted to be portable across jurisdictions.</w:t>
      </w:r>
      <w:r>
        <w:t xml:space="preserve"> </w:t>
      </w:r>
      <w:r>
        <w:t xml:space="preserve">The Ghana Data Protection Act 2012 (Act 843) is the primary framework;</w:t>
      </w:r>
      <w:r>
        <w:t xml:space="preserve"> </w:t>
      </w:r>
      <w:r>
        <w:t xml:space="preserve">GDPR/UK GDPR concepts are aligned for European pilot banks. Local</w:t>
      </w:r>
      <w:r>
        <w:t xml:space="preserve"> </w:t>
      </w:r>
      <w:r>
        <w:t xml:space="preserve">finance regulators (BoG, FCA, ECB) may impose additional outsourcing</w:t>
      </w:r>
      <w:r>
        <w:t xml:space="preserve"> </w:t>
      </w:r>
      <w:r>
        <w:t xml:space="preserve">requirements — verify before signing with regulated banks.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Data Processing Addendum (this</w:t>
      </w:r>
      <w:r>
        <w:t xml:space="preserve"> </w:t>
      </w:r>
      <w:r>
        <w:t xml:space="preserve">“</w:t>
      </w:r>
      <w:r>
        <w:rPr>
          <w:b/>
          <w:bCs/>
        </w:rPr>
        <w:t xml:space="preserve">DPA</w:t>
      </w:r>
      <w:r>
        <w:t xml:space="preserve">”</w:t>
      </w:r>
      <w:r>
        <w:t xml:space="preserve">) forms part of and is</w:t>
      </w:r>
      <w:r>
        <w:t xml:space="preserve"> </w:t>
      </w:r>
      <w:r>
        <w:t xml:space="preserve">incorporated into the agreement between</w:t>
      </w:r>
      <w:r>
        <w:t xml:space="preserve"> </w:t>
      </w:r>
      <w:r>
        <w:rPr>
          <w:b/>
          <w:bCs/>
        </w:rPr>
        <w:t xml:space="preserve">Kilter Limited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Kilter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[CUSTOMER]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Customer</w:t>
      </w:r>
      <w:r>
        <w:t xml:space="preserve">”</w:t>
      </w:r>
      <w:r>
        <w:t xml:space="preserve">) under which Kilter provides software</w:t>
      </w:r>
      <w:r>
        <w:t xml:space="preserve"> </w:t>
      </w:r>
      <w:r>
        <w:t xml:space="preserve">and services to Customer (the</w:t>
      </w:r>
      <w:r>
        <w:t xml:space="preserve"> </w:t>
      </w:r>
      <w:r>
        <w:t xml:space="preserve">“</w:t>
      </w:r>
      <w:r>
        <w:rPr>
          <w:b/>
          <w:bCs/>
        </w:rPr>
        <w:t xml:space="preserve">Principal Agreement</w:t>
      </w:r>
      <w:r>
        <w:t xml:space="preserve">”</w:t>
      </w:r>
      <w:r>
        <w:t xml:space="preserve">). In the event of</w:t>
      </w:r>
      <w:r>
        <w:t xml:space="preserve"> </w:t>
      </w:r>
      <w:r>
        <w:t xml:space="preserve">conflict between this DPA and the Principal Agreement on the subject of</w:t>
      </w:r>
      <w:r>
        <w:t xml:space="preserve"> </w:t>
      </w:r>
      <w:r>
        <w:t xml:space="preserve">data protection, this DPA controls.</w:t>
      </w:r>
    </w:p>
    <w:bookmarkStart w:id="9" w:name="definitions"/>
    <w:p>
      <w:pPr>
        <w:pStyle w:val="Heading2"/>
      </w:pPr>
      <w:r>
        <w:t xml:space="preserve">1.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“Applicable Privacy Law”</w:t>
      </w:r>
      <w:r>
        <w:t xml:space="preserve"> </w:t>
      </w:r>
      <w:r>
        <w:t xml:space="preserve">— Ghana’s Data Protection Act 2012</w:t>
      </w:r>
      <w:r>
        <w:t xml:space="preserve"> </w:t>
      </w:r>
      <w:r>
        <w:t xml:space="preserve">(Act 843), and any other privacy or data-protection law of any</w:t>
      </w:r>
      <w:r>
        <w:t xml:space="preserve"> </w:t>
      </w:r>
      <w:r>
        <w:t xml:space="preserve">jurisdiction applicable to the processing of Personal Data under the</w:t>
      </w:r>
      <w:r>
        <w:t xml:space="preserve"> </w:t>
      </w:r>
      <w:r>
        <w:t xml:space="preserve">Principal Agreement, including (where applicable) the EU GDPR</w:t>
      </w:r>
      <w:r>
        <w:t xml:space="preserve"> </w:t>
      </w:r>
      <w:r>
        <w:t xml:space="preserve">(Regulation 2016/679) and the UK GDPR.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“Personal Data”</w:t>
      </w:r>
      <w:r>
        <w:t xml:space="preserve"> </w:t>
      </w:r>
      <w:r>
        <w:t xml:space="preserve">— any information relating to an identified or</w:t>
      </w:r>
      <w:r>
        <w:t xml:space="preserve"> </w:t>
      </w:r>
      <w:r>
        <w:t xml:space="preserve">identifiable natural person, as defined under Applicable Privacy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“Controller”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“Processor”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“Sub-processor”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“Data Subject”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“Process/Processing”</w:t>
      </w:r>
      <w:r>
        <w:t xml:space="preserve"> </w:t>
      </w:r>
      <w:r>
        <w:t xml:space="preserve">— as defined in Applicable Privacy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“Customer Data”</w:t>
      </w:r>
      <w:r>
        <w:t xml:space="preserve"> </w:t>
      </w:r>
      <w:r>
        <w:t xml:space="preserve">— all data uploaded to or processed by the</w:t>
      </w:r>
      <w:r>
        <w:t xml:space="preserve"> </w:t>
      </w:r>
      <w:r>
        <w:t xml:space="preserve">Software on Customer’s behalf.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“Sub-processor”</w:t>
      </w:r>
      <w:r>
        <w:t xml:space="preserve"> </w:t>
      </w:r>
      <w:r>
        <w:t xml:space="preserve">— any third-party Processor engaged by Kilter to</w:t>
      </w:r>
      <w:r>
        <w:t xml:space="preserve"> </w:t>
      </w:r>
      <w:r>
        <w:t xml:space="preserve">Process Personal Data on Customer’s behalf.</w:t>
      </w:r>
    </w:p>
    <w:bookmarkEnd w:id="9"/>
    <w:bookmarkStart w:id="10" w:name="roles-of-the-parties"/>
    <w:p>
      <w:pPr>
        <w:pStyle w:val="Heading2"/>
      </w:pPr>
      <w:r>
        <w:t xml:space="preserve">2. Roles of the Parties</w:t>
      </w:r>
    </w:p>
    <w:p>
      <w:pPr>
        <w:pStyle w:val="FirstParagraph"/>
      </w:pPr>
      <w:r>
        <w:t xml:space="preserve">2.1 With respect to Personal Data Processed under the Principal</w:t>
      </w:r>
      <w:r>
        <w:t xml:space="preserve"> </w:t>
      </w:r>
      <w:r>
        <w:t xml:space="preserve">Agreement,</w:t>
      </w:r>
      <w:r>
        <w:t xml:space="preserve"> </w:t>
      </w:r>
      <w:r>
        <w:rPr>
          <w:b/>
          <w:bCs/>
        </w:rPr>
        <w:t xml:space="preserve">Customer is the Controller and Kilter is the Processor</w:t>
      </w:r>
      <w:r>
        <w:t xml:space="preserve">.</w:t>
      </w:r>
      <w:r>
        <w:t xml:space="preserve"> </w:t>
      </w:r>
      <w:r>
        <w:t xml:space="preserve">Customer is responsible for the lawfulness of the data it submits and</w:t>
      </w:r>
      <w:r>
        <w:t xml:space="preserve"> </w:t>
      </w:r>
      <w:r>
        <w:t xml:space="preserve">for obtaining all necessary consents and notices from Data Subjects.</w:t>
      </w:r>
    </w:p>
    <w:p>
      <w:pPr>
        <w:pStyle w:val="BodyText"/>
      </w:pPr>
      <w:r>
        <w:t xml:space="preserve">2.2 Kilter shall Process Personal Data only on the documented</w:t>
      </w:r>
      <w:r>
        <w:t xml:space="preserve"> </w:t>
      </w:r>
      <w:r>
        <w:t xml:space="preserve">instructions of Customer, including with regard to transfers, unless</w:t>
      </w:r>
      <w:r>
        <w:t xml:space="preserve"> </w:t>
      </w:r>
      <w:r>
        <w:t xml:space="preserve">required to do otherwise by law (in which case Kilter shall inform</w:t>
      </w:r>
      <w:r>
        <w:t xml:space="preserve"> </w:t>
      </w:r>
      <w:r>
        <w:t xml:space="preserve">Customer of that legal requirement before Processing, unless prohibited).</w:t>
      </w:r>
    </w:p>
    <w:bookmarkEnd w:id="10"/>
    <w:bookmarkStart w:id="11" w:name="X7bd8326f72a16b5c6a4c336d29cec3539f9e484"/>
    <w:p>
      <w:pPr>
        <w:pStyle w:val="Heading2"/>
      </w:pPr>
      <w:r>
        <w:t xml:space="preserve">3. Subject Matter, Duration, Nature, and Purpose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matter</w:t>
            </w:r>
          </w:p>
        </w:tc>
        <w:tc>
          <w:tcPr/>
          <w:p>
            <w:pPr>
              <w:pStyle w:val="Compact"/>
            </w:pPr>
            <w:r>
              <w:t xml:space="preserve">Provision of the Kilter reconciliation Software and related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The term of the Principal Agreement, plus any retention period required by law.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 &amp; purpose</w:t>
            </w:r>
          </w:p>
        </w:tc>
        <w:tc>
          <w:tcPr/>
          <w:p>
            <w:pPr>
              <w:pStyle w:val="Compact"/>
            </w:pPr>
            <w:r>
              <w:t xml:space="preserve">Ingestion, parsing, matching, storage, and reporting of financial transaction data on Customer’s behalf for nostro/GL reconciliation.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of Data Subjects</w:t>
            </w:r>
          </w:p>
        </w:tc>
        <w:tc>
          <w:tcPr/>
          <w:p>
            <w:pPr>
              <w:pStyle w:val="Compact"/>
            </w:pPr>
            <w:r>
              <w:t xml:space="preserve">Customer’s employees and contractors who are Authorised Users; counterparties named in transaction narratives.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of Personal Data</w:t>
            </w:r>
          </w:p>
        </w:tc>
        <w:tc>
          <w:tcPr/>
          <w:p>
            <w:pPr>
              <w:pStyle w:val="Compact"/>
            </w:pPr>
            <w:r>
              <w:t xml:space="preserve">Authorised User identifiers (username, email, role, MFA secret); transaction metadata (counterparty name, narrative text, account references). No special-category data is intended to be Processed; Customer shall not submit such data unless agreed in writing.</w:t>
            </w:r>
          </w:p>
        </w:tc>
      </w:tr>
    </w:tbl>
    <w:bookmarkEnd w:id="11"/>
    <w:bookmarkStart w:id="12" w:name="customers-obligations"/>
    <w:p>
      <w:pPr>
        <w:pStyle w:val="Heading2"/>
      </w:pPr>
      <w:r>
        <w:t xml:space="preserve">4. Customer’s Obligations</w:t>
      </w:r>
    </w:p>
    <w:p>
      <w:pPr>
        <w:pStyle w:val="FirstParagraph"/>
      </w:pPr>
      <w:r>
        <w:t xml:space="preserve">4.1 Customer warrants that it has a lawful basis under Applicable Privacy</w:t>
      </w:r>
      <w:r>
        <w:t xml:space="preserve"> </w:t>
      </w:r>
      <w:r>
        <w:t xml:space="preserve">Law to disclose Personal Data to Kilter for Processing under the</w:t>
      </w:r>
      <w:r>
        <w:t xml:space="preserve"> </w:t>
      </w:r>
      <w:r>
        <w:t xml:space="preserve">Principal Agreement.</w:t>
      </w:r>
    </w:p>
    <w:p>
      <w:pPr>
        <w:pStyle w:val="BodyText"/>
      </w:pPr>
      <w:r>
        <w:t xml:space="preserve">4.2 Customer shall provide all required notices and obtain all required</w:t>
      </w:r>
      <w:r>
        <w:t xml:space="preserve"> </w:t>
      </w:r>
      <w:r>
        <w:t xml:space="preserve">consents from Data Subjects.</w:t>
      </w:r>
    </w:p>
    <w:p>
      <w:pPr>
        <w:pStyle w:val="BodyText"/>
      </w:pPr>
      <w:r>
        <w:t xml:space="preserve">4.3 Customer shall not submit special-category Personal Data, payment</w:t>
      </w:r>
      <w:r>
        <w:t xml:space="preserve"> </w:t>
      </w:r>
      <w:r>
        <w:t xml:space="preserve">card numbers, or government identification numbers to the Software</w:t>
      </w:r>
      <w:r>
        <w:t xml:space="preserve"> </w:t>
      </w:r>
      <w:r>
        <w:t xml:space="preserve">without Kilter’s prior written agreement and an appropriate amendment to</w:t>
      </w:r>
      <w:r>
        <w:t xml:space="preserve"> </w:t>
      </w:r>
      <w:r>
        <w:t xml:space="preserve">this DPA.</w:t>
      </w:r>
    </w:p>
    <w:bookmarkEnd w:id="12"/>
    <w:bookmarkStart w:id="13" w:name="kilters-obligations"/>
    <w:p>
      <w:pPr>
        <w:pStyle w:val="Heading2"/>
      </w:pPr>
      <w:r>
        <w:t xml:space="preserve">5. Kilter’s Obligations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Confidentiality.</w:t>
      </w:r>
      <w:r>
        <w:t xml:space="preserve"> </w:t>
      </w:r>
      <w:r>
        <w:t xml:space="preserve">Kilter shall ensure that personnel authorised</w:t>
      </w:r>
      <w:r>
        <w:t xml:space="preserve"> </w:t>
      </w:r>
      <w:r>
        <w:t xml:space="preserve">to Process Personal Data have committed themselves to confidentiality or</w:t>
      </w:r>
      <w:r>
        <w:t xml:space="preserve"> </w:t>
      </w:r>
      <w:r>
        <w:t xml:space="preserve">are under a statutory duty of confidentiality.</w:t>
      </w:r>
    </w:p>
    <w:p>
      <w:pPr>
        <w:pStyle w:val="BodyText"/>
      </w:pPr>
      <w:r>
        <w:t xml:space="preserve">5.2</w:t>
      </w:r>
      <w:r>
        <w:t xml:space="preserve"> </w:t>
      </w:r>
      <w:r>
        <w:rPr>
          <w:b/>
          <w:bCs/>
        </w:rPr>
        <w:t xml:space="preserve">Security.</w:t>
      </w:r>
      <w:r>
        <w:t xml:space="preserve"> </w:t>
      </w:r>
      <w:r>
        <w:t xml:space="preserve">Kilter shall implement appropriate technical and</w:t>
      </w:r>
      <w:r>
        <w:t xml:space="preserve"> </w:t>
      </w:r>
      <w:r>
        <w:t xml:space="preserve">organisational measures to protect Personal Data, including those set</w:t>
      </w:r>
      <w:r>
        <w:t xml:space="preserve"> </w:t>
      </w:r>
      <w:r>
        <w:t xml:space="preserve">out in Annex A.</w:t>
      </w:r>
    </w:p>
    <w:p>
      <w:pPr>
        <w:pStyle w:val="BodyText"/>
      </w:pPr>
      <w:r>
        <w:t xml:space="preserve">5.3</w:t>
      </w:r>
      <w:r>
        <w:t xml:space="preserve"> </w:t>
      </w:r>
      <w:r>
        <w:rPr>
          <w:b/>
          <w:bCs/>
        </w:rPr>
        <w:t xml:space="preserve">Assistance with Data Subject Rights.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nature of Processing, Kilter shall assist Customer by appropriate</w:t>
      </w:r>
      <w:r>
        <w:t xml:space="preserve"> </w:t>
      </w:r>
      <w:r>
        <w:t xml:space="preserve">technical and organisational measures, insofar as possible, in</w:t>
      </w:r>
      <w:r>
        <w:t xml:space="preserve"> </w:t>
      </w:r>
      <w:r>
        <w:t xml:space="preserve">fulfilling Customer’s obligation to respond to requests for exercising</w:t>
      </w:r>
      <w:r>
        <w:t xml:space="preserve"> </w:t>
      </w:r>
      <w:r>
        <w:t xml:space="preserve">Data Subject rights (access, rectification, erasure, restriction,</w:t>
      </w:r>
      <w:r>
        <w:t xml:space="preserve"> </w:t>
      </w:r>
      <w:r>
        <w:t xml:space="preserve">portability, objection).</w:t>
      </w:r>
    </w:p>
    <w:p>
      <w:pPr>
        <w:pStyle w:val="BodyText"/>
      </w:pPr>
      <w:r>
        <w:t xml:space="preserve">5.4</w:t>
      </w:r>
      <w:r>
        <w:t xml:space="preserve"> </w:t>
      </w:r>
      <w:r>
        <w:rPr>
          <w:b/>
          <w:bCs/>
        </w:rPr>
        <w:t xml:space="preserve">Assistance with Compliance.</w:t>
      </w:r>
      <w:r>
        <w:t xml:space="preserve"> </w:t>
      </w:r>
      <w:r>
        <w:t xml:space="preserve">Kilter shall assist Customer in</w:t>
      </w:r>
      <w:r>
        <w:t xml:space="preserve"> </w:t>
      </w:r>
      <w:r>
        <w:t xml:space="preserve">ensuring compliance with obligations regarding security, breach</w:t>
      </w:r>
      <w:r>
        <w:t xml:space="preserve"> </w:t>
      </w:r>
      <w:r>
        <w:t xml:space="preserve">notification, data protection impact assessments, and prior consultation</w:t>
      </w:r>
      <w:r>
        <w:t xml:space="preserve"> </w:t>
      </w:r>
      <w:r>
        <w:t xml:space="preserve">with supervisory authorities, taking into account the nature of</w:t>
      </w:r>
      <w:r>
        <w:t xml:space="preserve"> </w:t>
      </w:r>
      <w:r>
        <w:t xml:space="preserve">Processing and the information available to Kilter.</w:t>
      </w:r>
    </w:p>
    <w:p>
      <w:pPr>
        <w:pStyle w:val="BodyText"/>
      </w:pPr>
      <w:r>
        <w:t xml:space="preserve">5.5</w:t>
      </w:r>
      <w:r>
        <w:t xml:space="preserve"> </w:t>
      </w:r>
      <w:r>
        <w:rPr>
          <w:b/>
          <w:bCs/>
        </w:rPr>
        <w:t xml:space="preserve">Return or Deletion.</w:t>
      </w:r>
      <w:r>
        <w:t xml:space="preserve"> </w:t>
      </w:r>
      <w:r>
        <w:t xml:space="preserve">Upon termination of the Principal Agreement,</w:t>
      </w:r>
      <w:r>
        <w:t xml:space="preserve"> </w:t>
      </w:r>
      <w:r>
        <w:t xml:space="preserve">Kilter shall, at Customer’s choice, return or delete all Personal Data</w:t>
      </w:r>
      <w:r>
        <w:t xml:space="preserve"> </w:t>
      </w:r>
      <w:r>
        <w:t xml:space="preserve">within thirty (30) days, unless retention is required by law. Kilter</w:t>
      </w:r>
      <w:r>
        <w:t xml:space="preserve"> </w:t>
      </w:r>
      <w:r>
        <w:t xml:space="preserve">shall certify deletion in writing on request.</w:t>
      </w:r>
    </w:p>
    <w:p>
      <w:pPr>
        <w:pStyle w:val="BodyText"/>
      </w:pPr>
      <w:r>
        <w:t xml:space="preserve">5.6</w:t>
      </w:r>
      <w:r>
        <w:t xml:space="preserve"> </w:t>
      </w:r>
      <w:r>
        <w:rPr>
          <w:b/>
          <w:bCs/>
        </w:rPr>
        <w:t xml:space="preserve">Records.</w:t>
      </w:r>
      <w:r>
        <w:t xml:space="preserve"> </w:t>
      </w:r>
      <w:r>
        <w:t xml:space="preserve">Kilter shall maintain records of Processing activities</w:t>
      </w:r>
      <w:r>
        <w:t xml:space="preserve"> </w:t>
      </w:r>
      <w:r>
        <w:t xml:space="preserve">in accordance with Applicable Privacy Law and shall make them available</w:t>
      </w:r>
      <w:r>
        <w:t xml:space="preserve"> </w:t>
      </w:r>
      <w:r>
        <w:t xml:space="preserve">to Customer or supervisory authorities on request.</w:t>
      </w:r>
    </w:p>
    <w:bookmarkEnd w:id="13"/>
    <w:bookmarkStart w:id="14" w:name="sub-processors"/>
    <w:p>
      <w:pPr>
        <w:pStyle w:val="Heading2"/>
      </w:pPr>
      <w:r>
        <w:t xml:space="preserve">6. Sub-processors</w:t>
      </w:r>
    </w:p>
    <w:p>
      <w:pPr>
        <w:pStyle w:val="FirstParagraph"/>
      </w:pPr>
      <w:r>
        <w:t xml:space="preserve">6.1 Customer provides general written authorisation for Kilter to engage</w:t>
      </w:r>
      <w:r>
        <w:t xml:space="preserve"> </w:t>
      </w:r>
      <w:r>
        <w:t xml:space="preserve">the Sub-processors listed in Annex B.</w:t>
      </w:r>
    </w:p>
    <w:p>
      <w:pPr>
        <w:pStyle w:val="BodyText"/>
      </w:pPr>
      <w:r>
        <w:t xml:space="preserve">6.2 Kilter shall give Customer at least thirty (30) days’ prior written</w:t>
      </w:r>
      <w:r>
        <w:t xml:space="preserve"> </w:t>
      </w:r>
      <w:r>
        <w:t xml:space="preserve">notice of any addition or replacement of Sub-processors. Customer may</w:t>
      </w:r>
      <w:r>
        <w:t xml:space="preserve"> </w:t>
      </w:r>
      <w:r>
        <w:t xml:space="preserve">object on reasonable data-protection grounds within fifteen (15)</w:t>
      </w:r>
      <w:r>
        <w:t xml:space="preserve"> </w:t>
      </w:r>
      <w:r>
        <w:t xml:space="preserve">business days. If the Parties cannot agree, Customer may terminate the</w:t>
      </w:r>
      <w:r>
        <w:t xml:space="preserve"> </w:t>
      </w:r>
      <w:r>
        <w:t xml:space="preserve">affected portion of the Principal Agreement on written notice without</w:t>
      </w:r>
      <w:r>
        <w:t xml:space="preserve"> </w:t>
      </w:r>
      <w:r>
        <w:t xml:space="preserve">penalty.</w:t>
      </w:r>
    </w:p>
    <w:p>
      <w:pPr>
        <w:pStyle w:val="BodyText"/>
      </w:pPr>
      <w:r>
        <w:t xml:space="preserve">6.3 Kilter shall impose contractual data-protection obligations on each</w:t>
      </w:r>
      <w:r>
        <w:t xml:space="preserve"> </w:t>
      </w:r>
      <w:r>
        <w:t xml:space="preserve">Sub-processor that are no less protective than those in this DPA, and</w:t>
      </w:r>
      <w:r>
        <w:t xml:space="preserve"> </w:t>
      </w:r>
      <w:r>
        <w:t xml:space="preserve">remains fully liable to Customer for the Sub-processor’s performance.</w:t>
      </w:r>
    </w:p>
    <w:bookmarkEnd w:id="14"/>
    <w:bookmarkStart w:id="15" w:name="international-transfers"/>
    <w:p>
      <w:pPr>
        <w:pStyle w:val="Heading2"/>
      </w:pPr>
      <w:r>
        <w:t xml:space="preserve">7. International Transfers</w:t>
      </w:r>
    </w:p>
    <w:p>
      <w:pPr>
        <w:pStyle w:val="FirstParagraph"/>
      </w:pPr>
      <w:r>
        <w:t xml:space="preserve">7.1 Kilter shall not transfer Personal Data outside Ghana (or, where</w:t>
      </w:r>
      <w:r>
        <w:t xml:space="preserve"> </w:t>
      </w:r>
      <w:r>
        <w:t xml:space="preserve">applicable to Customer, outside the European Economic Area or United</w:t>
      </w:r>
      <w:r>
        <w:t xml:space="preserve"> </w:t>
      </w:r>
      <w:r>
        <w:t xml:space="preserve">Kingdom) without ensuring an adequate level of protection through one of</w:t>
      </w:r>
      <w:r>
        <w:t xml:space="preserve"> </w:t>
      </w:r>
      <w:r>
        <w:t xml:space="preserve">the following: (a) an adequacy decision by the relevant supervisory</w:t>
      </w:r>
      <w:r>
        <w:t xml:space="preserve"> </w:t>
      </w:r>
      <w:r>
        <w:t xml:space="preserve">authority; (b) Standard Contractual Clauses (SCCs) or equivalent; (c)</w:t>
      </w:r>
      <w:r>
        <w:t xml:space="preserve"> </w:t>
      </w:r>
      <w:r>
        <w:t xml:space="preserve">binding corporate rules; or (d) any other lawful transfer mechanism</w:t>
      </w:r>
      <w:r>
        <w:t xml:space="preserve"> </w:t>
      </w:r>
      <w:r>
        <w:t xml:space="preserve">under Applicable Privacy Law.</w:t>
      </w:r>
    </w:p>
    <w:p>
      <w:pPr>
        <w:pStyle w:val="BodyText"/>
      </w:pPr>
      <w:r>
        <w:t xml:space="preserve">7.2 Where SCCs apply, the Parties shall execute the relevant SCC module</w:t>
      </w:r>
      <w:r>
        <w:t xml:space="preserve"> </w:t>
      </w:r>
      <w:r>
        <w:t xml:space="preserve">(typically Module 2: Controller-to-Processor) as a separate document or</w:t>
      </w:r>
      <w:r>
        <w:t xml:space="preserve"> </w:t>
      </w:r>
      <w:r>
        <w:t xml:space="preserve">attached annex.</w:t>
      </w:r>
    </w:p>
    <w:bookmarkEnd w:id="15"/>
    <w:bookmarkStart w:id="16" w:name="personal-data-breach"/>
    <w:p>
      <w:pPr>
        <w:pStyle w:val="Heading2"/>
      </w:pPr>
      <w:r>
        <w:t xml:space="preserve">8. Personal Data Breach</w:t>
      </w:r>
    </w:p>
    <w:p>
      <w:pPr>
        <w:pStyle w:val="FirstParagraph"/>
      </w:pPr>
      <w:r>
        <w:t xml:space="preserve">8.1 Kilter shall notify Customer without undue delay, and in any event</w:t>
      </w:r>
      <w:r>
        <w:t xml:space="preserve"> </w:t>
      </w:r>
      <w:r>
        <w:t xml:space="preserve">within seventy-two (72) hours, after becoming aware of a Personal Data</w:t>
      </w:r>
      <w:r>
        <w:t xml:space="preserve"> </w:t>
      </w:r>
      <w:r>
        <w:t xml:space="preserve">breach affecting Customer Data.</w:t>
      </w:r>
    </w:p>
    <w:p>
      <w:pPr>
        <w:pStyle w:val="BodyText"/>
      </w:pPr>
      <w:r>
        <w:t xml:space="preserve">8.2 The notification shall include, to the extent known: (a) the nature</w:t>
      </w:r>
      <w:r>
        <w:t xml:space="preserve"> </w:t>
      </w:r>
      <w:r>
        <w:t xml:space="preserve">of the breach; (b) the categories and approximate number of Data</w:t>
      </w:r>
      <w:r>
        <w:t xml:space="preserve"> </w:t>
      </w:r>
      <w:r>
        <w:t xml:space="preserve">Subjects and records concerned; (c) likely consequences; (d) measures</w:t>
      </w:r>
      <w:r>
        <w:t xml:space="preserve"> </w:t>
      </w:r>
      <w:r>
        <w:t xml:space="preserve">taken or proposed to address the breach and mitigate effects.</w:t>
      </w:r>
    </w:p>
    <w:p>
      <w:pPr>
        <w:pStyle w:val="BodyText"/>
      </w:pPr>
      <w:r>
        <w:t xml:space="preserve">8.3 Kilter shall cooperate with Customer’s reasonable requests in</w:t>
      </w:r>
      <w:r>
        <w:t xml:space="preserve"> </w:t>
      </w:r>
      <w:r>
        <w:t xml:space="preserve">investigating and remediating the breach.</w:t>
      </w:r>
    </w:p>
    <w:bookmarkEnd w:id="16"/>
    <w:bookmarkStart w:id="17" w:name="audits"/>
    <w:p>
      <w:pPr>
        <w:pStyle w:val="Heading2"/>
      </w:pPr>
      <w:r>
        <w:t xml:space="preserve">9. Audits</w:t>
      </w:r>
    </w:p>
    <w:p>
      <w:pPr>
        <w:pStyle w:val="FirstParagraph"/>
      </w:pPr>
      <w:r>
        <w:t xml:space="preserve">9.1 Kilter shall make available to Customer, on reasonable written</w:t>
      </w:r>
      <w:r>
        <w:t xml:space="preserve"> </w:t>
      </w:r>
      <w:r>
        <w:t xml:space="preserve">request and no more than once per twelve (12) months (except in the</w:t>
      </w:r>
      <w:r>
        <w:t xml:space="preserve"> </w:t>
      </w:r>
      <w:r>
        <w:t xml:space="preserve">event of a material breach or regulatory request), information necessary</w:t>
      </w:r>
      <w:r>
        <w:t xml:space="preserve"> </w:t>
      </w:r>
      <w:r>
        <w:t xml:space="preserve">to demonstrate compliance with this DPA. This may be satisfied by</w:t>
      </w:r>
      <w:r>
        <w:t xml:space="preserve"> </w:t>
      </w:r>
      <w:r>
        <w:t xml:space="preserve">Kilter’s then-current SOC 2 Type II report, ISO/IEC 27001 certificate,</w:t>
      </w:r>
      <w:r>
        <w:t xml:space="preserve"> </w:t>
      </w:r>
      <w:r>
        <w:t xml:space="preserve">or equivalent third-party attestation.</w:t>
      </w:r>
    </w:p>
    <w:p>
      <w:pPr>
        <w:pStyle w:val="BodyText"/>
      </w:pPr>
      <w:r>
        <w:t xml:space="preserve">9.2 If the above is insufficient to demonstrate compliance, Customer (or</w:t>
      </w:r>
      <w:r>
        <w:t xml:space="preserve"> </w:t>
      </w:r>
      <w:r>
        <w:t xml:space="preserve">an independent auditor mandated by Customer and reasonably acceptable to</w:t>
      </w:r>
      <w:r>
        <w:t xml:space="preserve"> </w:t>
      </w:r>
      <w:r>
        <w:t xml:space="preserve">Kilter) may conduct an on-site audit on thirty (30) days’ written</w:t>
      </w:r>
      <w:r>
        <w:t xml:space="preserve"> </w:t>
      </w:r>
      <w:r>
        <w:t xml:space="preserve">notice, during business hours, subject to confidentiality obligations</w:t>
      </w:r>
      <w:r>
        <w:t xml:space="preserve"> </w:t>
      </w:r>
      <w:r>
        <w:t xml:space="preserve">and at Customer’s expense.</w:t>
      </w:r>
    </w:p>
    <w:bookmarkEnd w:id="17"/>
    <w:bookmarkStart w:id="18" w:name="liability"/>
    <w:p>
      <w:pPr>
        <w:pStyle w:val="Heading2"/>
      </w:pPr>
      <w:r>
        <w:t xml:space="preserve">10. Liability</w:t>
      </w:r>
    </w:p>
    <w:p>
      <w:pPr>
        <w:pStyle w:val="FirstParagraph"/>
      </w:pPr>
      <w:r>
        <w:t xml:space="preserve">The liability of each Party under this DPA is subject to the limitations</w:t>
      </w:r>
      <w:r>
        <w:t xml:space="preserve"> </w:t>
      </w:r>
      <w:r>
        <w:t xml:space="preserve">in the Principal Agreement, except where Applicable Privacy Law</w:t>
      </w:r>
      <w:r>
        <w:t xml:space="preserve"> </w:t>
      </w:r>
      <w:r>
        <w:t xml:space="preserve">prohibits such limitation.</w:t>
      </w:r>
    </w:p>
    <w:bookmarkEnd w:id="18"/>
    <w:bookmarkStart w:id="19" w:name="term-and-termination"/>
    <w:p>
      <w:pPr>
        <w:pStyle w:val="Heading2"/>
      </w:pPr>
      <w:r>
        <w:t xml:space="preserve">11. Term and Termination</w:t>
      </w:r>
    </w:p>
    <w:p>
      <w:pPr>
        <w:pStyle w:val="FirstParagraph"/>
      </w:pPr>
      <w:r>
        <w:t xml:space="preserve">This DPA remains in effect for so long as Kilter Processes Personal Data</w:t>
      </w:r>
      <w:r>
        <w:t xml:space="preserve"> </w:t>
      </w:r>
      <w:r>
        <w:t xml:space="preserve">on Customer’s behalf, and survives termination of the Principal</w:t>
      </w:r>
      <w:r>
        <w:t xml:space="preserve"> </w:t>
      </w:r>
      <w:r>
        <w:t xml:space="preserve">Agreement to the extent necessary for Kilter to comply with its</w:t>
      </w:r>
      <w:r>
        <w:t xml:space="preserve"> </w:t>
      </w:r>
      <w:r>
        <w:t xml:space="preserve">obligations under this DPA.</w:t>
      </w:r>
    </w:p>
    <w:p>
      <w:r>
        <w:pict>
          <v:rect style="width:0;height:1.5pt" o:hralign="center" o:hrstd="t" o:hr="t"/>
        </w:pict>
      </w:r>
    </w:p>
    <w:bookmarkEnd w:id="19"/>
    <w:bookmarkStart w:id="20" w:name="X5d188b412b939c9b6dd8c20311904562e461368"/>
    <w:p>
      <w:pPr>
        <w:pStyle w:val="Heading2"/>
      </w:pPr>
      <w:r>
        <w:t xml:space="preserve">Annex A — Technical and Organisational Security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Role-based access; principle of least privilege; mandatory MFA (TOTP) for all Authorised Users; named individual accounts (no shared logins); session token expiry (8 hours); admin actions logged.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— at rest</w:t>
            </w:r>
          </w:p>
        </w:tc>
        <w:tc>
          <w:tcPr/>
          <w:p>
            <w:pPr>
              <w:pStyle w:val="Compact"/>
            </w:pPr>
            <w:r>
              <w:t xml:space="preserve">TOTP secrets and SMTP credentials encrypted with Fernet (AES-128-CBC + HMAC-SHA256). Keys held in OS environment / HSM; never in source. Database files reside on Customer’s filesystem; full-disk encryption is Customer’s responsibility.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— in transit</w:t>
            </w:r>
          </w:p>
        </w:tc>
        <w:tc>
          <w:tcPr/>
          <w:p>
            <w:pPr>
              <w:pStyle w:val="Compact"/>
            </w:pPr>
            <w:r>
              <w:t xml:space="preserve">HTTPS/TLS 1.2+ for all browser and API traffic. HSTS enforced. Internal API calls use mutual TLS where the deployment topology supports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Private deployment; no inbound traffic from public internet to the application instance other than to the HTTPS listener. CORS allowlist. Rate limiting on authentication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security</w:t>
            </w:r>
          </w:p>
        </w:tc>
        <w:tc>
          <w:tcPr/>
          <w:p>
            <w:pPr>
              <w:pStyle w:val="Compact"/>
            </w:pPr>
            <w:r>
              <w:t xml:space="preserve">OWASP top-10 hardening; security headers (CSP, X-Frame-Options, X-Content-Type-Options, Referrer-Policy); input validation; parameterised SQL; CSRF protection on state-changing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development</w:t>
            </w:r>
          </w:p>
        </w:tc>
        <w:tc>
          <w:tcPr/>
          <w:p>
            <w:pPr>
              <w:pStyle w:val="Compact"/>
            </w:pPr>
            <w:r>
              <w:t xml:space="preserve">Code review prior to merge; pinned dependencies; vulnerability scanning on dependencies (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or equivalent) at least monthly.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&amp; audit</w:t>
            </w:r>
          </w:p>
        </w:tc>
        <w:tc>
          <w:tcPr/>
          <w:p>
            <w:pPr>
              <w:pStyle w:val="Compact"/>
            </w:pPr>
            <w:r>
              <w:t xml:space="preserve">Append-only audit log of authentication, MFA enrollment, session issuance/revocation, file ingestion, match commitment, and configuration change. Retained for the term plus 12 months.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&amp; recovery</w:t>
            </w:r>
          </w:p>
        </w:tc>
        <w:tc>
          <w:tcPr/>
          <w:p>
            <w:pPr>
              <w:pStyle w:val="Compact"/>
            </w:pPr>
            <w:r>
              <w:t xml:space="preserve">Daily encrypted backups under Customer’s control. Restore tested at least annually. Backups inherit the same protection as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Background checks where local law permits; written confidentiality undertakings; data-protection training on hire and at least annually.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Documented incident-response plan; named on-call contact; 72-hour breach-notification clock from confirmed awareness.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minimisation</w:t>
            </w:r>
          </w:p>
        </w:tc>
        <w:tc>
          <w:tcPr/>
          <w:p>
            <w:pPr>
              <w:pStyle w:val="Compact"/>
            </w:pPr>
            <w:r>
              <w:t xml:space="preserve">The Software stores only the data needed for reconciliation. Statement file payloads are retained for the audit window; Authorised User passwords are not stored (TOTP only); no analytics SDKs are embedded.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Sub-processor management</w:t>
            </w:r>
          </w:p>
        </w:tc>
        <w:tc>
          <w:tcPr/>
          <w:p>
            <w:pPr>
              <w:pStyle w:val="Compact"/>
            </w:pPr>
            <w:r>
              <w:t xml:space="preserve">Annex B; written contracts with at-least-equivalent obligations; due-diligence review prior to onboarding.</w:t>
            </w:r>
          </w:p>
        </w:tc>
      </w:tr>
    </w:tbl>
    <w:bookmarkEnd w:id="20"/>
    <w:bookmarkStart w:id="21" w:name="X5b9a30a2c55aba1d2a7dadd5129de4b85229b02"/>
    <w:p>
      <w:pPr>
        <w:pStyle w:val="Heading2"/>
      </w:pPr>
      <w:r>
        <w:t xml:space="preserve">Annex B — Authorised Sub-processors (initial list)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[None at go-live for on-premises deployments]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Software runs entirely within Customer’s infrastructure for on-prem and private-cloud deployments.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[SMTP / email-relay provider, if used by SLA Notifier]</w:t>
            </w:r>
          </w:p>
        </w:tc>
        <w:tc>
          <w:tcPr/>
          <w:p>
            <w:pPr>
              <w:pStyle w:val="Compact"/>
            </w:pPr>
            <w:r>
              <w:t xml:space="preserve">Outbound email notifications</w:t>
            </w:r>
          </w:p>
        </w:tc>
        <w:tc>
          <w:tcPr/>
          <w:p>
            <w:pPr>
              <w:pStyle w:val="Compact"/>
            </w:pPr>
            <w:r>
              <w:t xml:space="preserve">[REGION]</w:t>
            </w:r>
          </w:p>
        </w:tc>
        <w:tc>
          <w:tcPr/>
          <w:p>
            <w:pPr>
              <w:pStyle w:val="Compact"/>
            </w:pPr>
            <w:r>
              <w:t xml:space="preserve">Only if Customer enables SLA email notifications and uses Kilter-recommended provider. Customer may substitute its own SMTP.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[Cloud host, if Kilter-managed deployment]</w:t>
            </w:r>
          </w:p>
        </w:tc>
        <w:tc>
          <w:tcPr/>
          <w:p>
            <w:pPr>
              <w:pStyle w:val="Compact"/>
            </w:pPr>
            <w:r>
              <w:t xml:space="preserve">Application hosting</w:t>
            </w:r>
          </w:p>
        </w:tc>
        <w:tc>
          <w:tcPr/>
          <w:p>
            <w:pPr>
              <w:pStyle w:val="Compact"/>
            </w:pPr>
            <w:r>
              <w:t xml:space="preserve">[REGION]</w:t>
            </w:r>
          </w:p>
        </w:tc>
        <w:tc>
          <w:tcPr/>
          <w:p>
            <w:pPr>
              <w:pStyle w:val="Compact"/>
            </w:pPr>
            <w:r>
              <w:t xml:space="preserve">Only applicable to Kilter-managed deployments. Default: AWS Frankfurt (eu-central-1) for European customers; AWS Cape Town (af-south-1) for African customers.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[Telemetry / error-reporting service, if any]</w:t>
            </w:r>
          </w:p>
        </w:tc>
        <w:tc>
          <w:tcPr/>
          <w:p>
            <w:pPr>
              <w:pStyle w:val="Compact"/>
            </w:pPr>
            <w:r>
              <w:t xml:space="preserve">Application error reporting</w:t>
            </w:r>
          </w:p>
        </w:tc>
        <w:tc>
          <w:tcPr/>
          <w:p>
            <w:pPr>
              <w:pStyle w:val="Compact"/>
            </w:pPr>
            <w:r>
              <w:t xml:space="preserve">[REGION]</w:t>
            </w:r>
          </w:p>
        </w:tc>
        <w:tc>
          <w:tcPr/>
          <w:p>
            <w:pPr>
              <w:pStyle w:val="Compact"/>
            </w:pPr>
            <w:r>
              <w:t xml:space="preserve">Only if Customer opts in; PII is scrubbed before transmission.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WITNESS WHEREOF</w:t>
      </w:r>
      <w:r>
        <w:t xml:space="preserve">, the Parties have executed this DPA as of the</w:t>
      </w:r>
      <w:r>
        <w:t xml:space="preserve"> </w:t>
      </w:r>
      <w:r>
        <w:t xml:space="preserve">Effective Date of the Principal Agreement.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KILTER LIMITED</w:t>
            </w:r>
          </w:p>
        </w:tc>
        <w:tc>
          <w:tcPr/>
          <w:p>
            <w:pPr>
              <w:pStyle w:val="Compact"/>
            </w:pPr>
            <w:r>
              <w:t xml:space="preserve">[CUSTOMER LEGAL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Signed: __________________</w:t>
            </w:r>
          </w:p>
        </w:tc>
        <w:tc>
          <w:tcPr/>
          <w:p>
            <w:pPr>
              <w:pStyle w:val="Compact"/>
            </w:pPr>
            <w:r>
              <w:t xml:space="preserve">Signed: 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 [NAME]</w:t>
            </w:r>
          </w:p>
        </w:tc>
        <w:tc>
          <w:tcPr/>
          <w:p>
            <w:pPr>
              <w:pStyle w:val="Compact"/>
            </w:pPr>
            <w:r>
              <w:t xml:space="preserve">Name: 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[TITLE]</w:t>
            </w:r>
          </w:p>
        </w:tc>
        <w:tc>
          <w:tcPr/>
          <w:p>
            <w:pPr>
              <w:pStyle w:val="Compact"/>
            </w:pPr>
            <w:r>
              <w:t xml:space="preserve">Title: [TITLE]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2026-04-25T17:23:05Z</dcterms:created>
  <dcterms:modified xsi:type="dcterms:W3CDTF">2026-04-25T17:23:05Z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