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rivacy-policy-kilter"/>
    <w:p>
      <w:pPr>
        <w:pStyle w:val="Heading1"/>
      </w:pPr>
      <w:r>
        <w:t xml:space="preserve">Privacy Policy — Kilter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for lawyer review.</w:t>
      </w:r>
      <w:r>
        <w:t xml:space="preserve"> </w:t>
      </w:r>
      <w:r>
        <w:rPr>
          <w:b/>
          <w:bCs/>
        </w:rPr>
        <w:t xml:space="preserve">Form:</w:t>
      </w:r>
      <w:r>
        <w:t xml:space="preserve"> </w:t>
      </w:r>
      <w:r>
        <w:t xml:space="preserve">Public-facing privacy policy for the Kilter marketing site</w:t>
      </w:r>
      <w:r>
        <w:t xml:space="preserve"> </w:t>
      </w:r>
      <w:r>
        <w:t xml:space="preserve">(</w:t>
      </w:r>
      <w:r>
        <w:rPr>
          <w:rStyle w:val="VerbatimChar"/>
        </w:rPr>
        <w:t xml:space="preserve">kilter.com</w:t>
      </w:r>
      <w:r>
        <w:t xml:space="preserve"> </w:t>
      </w:r>
      <w:r>
        <w:t xml:space="preserve">or equivalent) and customer onboarding wizard.</w:t>
      </w:r>
    </w:p>
    <w:p>
      <w:pPr>
        <w:pStyle w:val="BlockText"/>
      </w:pPr>
      <w:r>
        <w:t xml:space="preserve">Lawyer note: Kilter is sold to banks as on-premises / private-cloud</w:t>
      </w:r>
      <w:r>
        <w:t xml:space="preserve"> </w:t>
      </w:r>
      <w:r>
        <w:t xml:space="preserve">software. The bank, not Kilter, is the Controller of bank end-customer</w:t>
      </w:r>
      <w:r>
        <w:t xml:space="preserve"> </w:t>
      </w:r>
      <w:r>
        <w:t xml:space="preserve">data. This policy therefore covers (a) website visitors, (b) prospects</w:t>
      </w:r>
      <w:r>
        <w:t xml:space="preserve"> </w:t>
      </w:r>
      <w:r>
        <w:t xml:space="preserve">and demo users, (c) Authorised Users at customer banks who interact</w:t>
      </w:r>
      <w:r>
        <w:t xml:space="preserve"> </w:t>
      </w:r>
      <w:r>
        <w:t xml:space="preserve">with Kilter Support — NOT the bank’s downstream customers.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[DATE]</w:t>
      </w:r>
      <w:r>
        <w:t xml:space="preserve"> </w:t>
      </w:r>
      <w:r>
        <w:rPr>
          <w:b/>
          <w:bCs/>
        </w:rPr>
        <w:t xml:space="preserve">Effective:</w:t>
      </w:r>
      <w:r>
        <w:t xml:space="preserve"> </w:t>
      </w:r>
      <w:r>
        <w:t xml:space="preserve">[DATE]</w:t>
      </w:r>
    </w:p>
    <w:p>
      <w:pPr>
        <w:pStyle w:val="BodyText"/>
      </w:pPr>
      <w:r>
        <w:t xml:space="preserve">Kilter Limited (</w:t>
      </w:r>
      <w:r>
        <w:t xml:space="preserve">“</w:t>
      </w:r>
      <w:r>
        <w:rPr>
          <w:b/>
          <w:bCs/>
        </w:rPr>
        <w:t xml:space="preserve">Kilter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we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us</w:t>
      </w:r>
      <w:r>
        <w:t xml:space="preserve">”</w:t>
      </w:r>
      <w:r>
        <w:t xml:space="preserve">) respects your privacy.</w:t>
      </w:r>
      <w:r>
        <w:t xml:space="preserve"> </w:t>
      </w:r>
      <w:r>
        <w:t xml:space="preserve">This Privacy Policy explains what personal data we collect, how we use</w:t>
      </w:r>
      <w:r>
        <w:t xml:space="preserve"> </w:t>
      </w:r>
      <w:r>
        <w:t xml:space="preserve">it, and the rights you have. It applies to:</w:t>
      </w:r>
    </w:p>
    <w:p>
      <w:pPr>
        <w:pStyle w:val="Compact"/>
        <w:numPr>
          <w:ilvl w:val="0"/>
          <w:numId w:val="1001"/>
        </w:numPr>
      </w:pPr>
      <w:r>
        <w:t xml:space="preserve">Visitors to our website at [kilter.com] and any related subdomains.</w:t>
      </w:r>
    </w:p>
    <w:p>
      <w:pPr>
        <w:pStyle w:val="Compact"/>
        <w:numPr>
          <w:ilvl w:val="0"/>
          <w:numId w:val="1001"/>
        </w:numPr>
      </w:pPr>
      <w:r>
        <w:t xml:space="preserve">Prospective customers who request a demo or pilot.</w:t>
      </w:r>
    </w:p>
    <w:p>
      <w:pPr>
        <w:pStyle w:val="Compact"/>
        <w:numPr>
          <w:ilvl w:val="0"/>
          <w:numId w:val="1001"/>
        </w:numPr>
      </w:pPr>
      <w:r>
        <w:t xml:space="preserve">Authorised Users at customer organisations who contact our support</w:t>
      </w:r>
      <w:r>
        <w:t xml:space="preserve"> </w:t>
      </w:r>
      <w:r>
        <w:t xml:space="preserve">team or attend our training.</w:t>
      </w:r>
    </w:p>
    <w:p>
      <w:pPr>
        <w:pStyle w:val="FirstParagraph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apply to data that customer organisations process within</w:t>
      </w:r>
      <w:r>
        <w:t xml:space="preserve"> </w:t>
      </w:r>
      <w:r>
        <w:t xml:space="preserve">their own deployments of the Kilter Software. In those deployments, the</w:t>
      </w:r>
      <w:r>
        <w:t xml:space="preserve"> </w:t>
      </w:r>
      <w:r>
        <w:t xml:space="preserve">customer is the Controller of the data, and the customer’s own privacy</w:t>
      </w:r>
      <w:r>
        <w:t xml:space="preserve"> </w:t>
      </w:r>
      <w:r>
        <w:t xml:space="preserve">policy governs.</w:t>
      </w:r>
    </w:p>
    <w:bookmarkStart w:id="9" w:name="who-is-the-controller"/>
    <w:p>
      <w:pPr>
        <w:pStyle w:val="Heading2"/>
      </w:pPr>
      <w:r>
        <w:t xml:space="preserve">1. Who is the Controller?</w:t>
      </w:r>
    </w:p>
    <w:p>
      <w:pPr>
        <w:pStyle w:val="FirstParagraph"/>
      </w:pPr>
      <w:r>
        <w:t xml:space="preserve">For the purposes of this Policy, the Controller is</w:t>
      </w:r>
      <w:r>
        <w:t xml:space="preserve"> </w:t>
      </w:r>
      <w:r>
        <w:rPr>
          <w:b/>
          <w:bCs/>
        </w:rPr>
        <w:t xml:space="preserve">Kilter Limited</w:t>
      </w:r>
      <w:r>
        <w:t xml:space="preserve">, a</w:t>
      </w:r>
      <w:r>
        <w:t xml:space="preserve"> </w:t>
      </w:r>
      <w:r>
        <w:t xml:space="preserve">company incorporated in Ghana with registered office at [ADDRESS].</w:t>
      </w:r>
    </w:p>
    <w:p>
      <w:pPr>
        <w:pStyle w:val="BodyText"/>
      </w:pPr>
      <w:r>
        <w:t xml:space="preserve">Contact for privacy queries:</w:t>
      </w:r>
      <w:r>
        <w:t xml:space="preserve"> </w:t>
      </w:r>
      <w:r>
        <w:rPr>
          <w:b/>
          <w:bCs/>
        </w:rPr>
        <w:t xml:space="preserve">privacy@kilter.com</w:t>
      </w:r>
      <w:r>
        <w:t xml:space="preserve"> </w:t>
      </w:r>
      <w:r>
        <w:t xml:space="preserve">(or</w:t>
      </w:r>
      <w:r>
        <w:t xml:space="preserve"> </w:t>
      </w:r>
      <w:r>
        <w:t xml:space="preserve">[CONTACT EMAIL]).</w:t>
      </w:r>
    </w:p>
    <w:bookmarkEnd w:id="9"/>
    <w:bookmarkStart w:id="14" w:name="personal-data-we-collect"/>
    <w:p>
      <w:pPr>
        <w:pStyle w:val="Heading2"/>
      </w:pPr>
      <w:r>
        <w:t xml:space="preserve">2. Personal Data We Collect</w:t>
      </w:r>
    </w:p>
    <w:bookmarkStart w:id="10" w:name="when-you-visit-our-website"/>
    <w:p>
      <w:pPr>
        <w:pStyle w:val="Heading3"/>
      </w:pPr>
      <w:r>
        <w:t xml:space="preserve">2.1 When you visit our website</w:t>
      </w:r>
    </w:p>
    <w:p>
      <w:pPr>
        <w:pStyle w:val="Compact"/>
        <w:numPr>
          <w:ilvl w:val="0"/>
          <w:numId w:val="1002"/>
        </w:numPr>
      </w:pPr>
      <w:r>
        <w:t xml:space="preserve">IP address, user-agent, referrer, pages viewed, and timestamps —</w:t>
      </w:r>
      <w:r>
        <w:t xml:space="preserve"> </w:t>
      </w:r>
      <w:r>
        <w:t xml:space="preserve">collected in server access logs.</w:t>
      </w:r>
    </w:p>
    <w:p>
      <w:pPr>
        <w:pStyle w:val="Compact"/>
        <w:numPr>
          <w:ilvl w:val="0"/>
          <w:numId w:val="1002"/>
        </w:numPr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third-party analytics SDKs that profile you across</w:t>
      </w:r>
      <w:r>
        <w:t xml:space="preserve"> </w:t>
      </w:r>
      <w:r>
        <w:t xml:space="preserve">sites. We do not embed Google Analytics, Meta Pixel, Hotjar, or</w:t>
      </w:r>
      <w:r>
        <w:t xml:space="preserve"> </w:t>
      </w:r>
      <w:r>
        <w:t xml:space="preserve">similar.</w:t>
      </w:r>
    </w:p>
    <w:p>
      <w:pPr>
        <w:pStyle w:val="Compact"/>
        <w:numPr>
          <w:ilvl w:val="0"/>
          <w:numId w:val="1002"/>
        </w:numPr>
      </w:pPr>
      <w:r>
        <w:t xml:space="preserve">Strictly necessary cookies only (session cookie if you log in; no</w:t>
      </w:r>
      <w:r>
        <w:t xml:space="preserve"> </w:t>
      </w:r>
      <w:r>
        <w:t xml:space="preserve">advertising or tracking cookies).</w:t>
      </w:r>
    </w:p>
    <w:bookmarkEnd w:id="10"/>
    <w:bookmarkStart w:id="11" w:name="when-you-contact-us-or-request-a-demo"/>
    <w:p>
      <w:pPr>
        <w:pStyle w:val="Heading3"/>
      </w:pPr>
      <w:r>
        <w:t xml:space="preserve">2.2 When you contact us or request a demo</w:t>
      </w:r>
    </w:p>
    <w:p>
      <w:pPr>
        <w:pStyle w:val="Compact"/>
        <w:numPr>
          <w:ilvl w:val="0"/>
          <w:numId w:val="1003"/>
        </w:numPr>
      </w:pPr>
      <w:r>
        <w:t xml:space="preserve">Name, business email, employer name, job title, country, and any</w:t>
      </w:r>
      <w:r>
        <w:t xml:space="preserve"> </w:t>
      </w:r>
      <w:r>
        <w:t xml:space="preserve">free-text message you send us.</w:t>
      </w:r>
    </w:p>
    <w:p>
      <w:pPr>
        <w:pStyle w:val="Compact"/>
        <w:numPr>
          <w:ilvl w:val="0"/>
          <w:numId w:val="1003"/>
        </w:numPr>
      </w:pPr>
      <w:r>
        <w:t xml:space="preserve">If you book a meeting, calendar metadata (date/time of meeting only).</w:t>
      </w:r>
    </w:p>
    <w:bookmarkEnd w:id="11"/>
    <w:bookmarkStart w:id="12" w:name="X08022f09fa7dcefbd9711e2cfa50d2474bf6982"/>
    <w:p>
      <w:pPr>
        <w:pStyle w:val="Heading3"/>
      </w:pPr>
      <w:r>
        <w:t xml:space="preserve">2.3 When you join a pilot or become a customer</w:t>
      </w:r>
    </w:p>
    <w:p>
      <w:pPr>
        <w:pStyle w:val="Compact"/>
        <w:numPr>
          <w:ilvl w:val="0"/>
          <w:numId w:val="1004"/>
        </w:numPr>
      </w:pPr>
      <w:r>
        <w:t xml:space="preserve">The contact details of your Authorised Users (name, email, role) so we</w:t>
      </w:r>
      <w:r>
        <w:t xml:space="preserve"> </w:t>
      </w:r>
      <w:r>
        <w:t xml:space="preserve">can communicate about support, releases, and renewals.</w:t>
      </w:r>
    </w:p>
    <w:p>
      <w:pPr>
        <w:pStyle w:val="Compact"/>
        <w:numPr>
          <w:ilvl w:val="0"/>
          <w:numId w:val="1004"/>
        </w:numPr>
      </w:pPr>
      <w:r>
        <w:t xml:space="preserve">Any support-ticket content you submit (which may incidentally include</w:t>
      </w:r>
      <w:r>
        <w:t xml:space="preserve"> </w:t>
      </w:r>
      <w:r>
        <w:t xml:space="preserve">technical metadata about your environment — please do not include</w:t>
      </w:r>
      <w:r>
        <w:t xml:space="preserve"> </w:t>
      </w:r>
      <w:r>
        <w:t xml:space="preserve">personal data of your end customers in support tickets).</w:t>
      </w:r>
    </w:p>
    <w:bookmarkEnd w:id="12"/>
    <w:bookmarkStart w:id="13" w:name="what-we-do-not-collect"/>
    <w:p>
      <w:pPr>
        <w:pStyle w:val="Heading3"/>
      </w:pPr>
      <w:r>
        <w:t xml:space="preserve">2.4 What we do NOT collect</w:t>
      </w:r>
    </w:p>
    <w:p>
      <w:pPr>
        <w:pStyle w:val="Compact"/>
        <w:numPr>
          <w:ilvl w:val="0"/>
          <w:numId w:val="1005"/>
        </w:numPr>
      </w:pPr>
      <w:r>
        <w:t xml:space="preserve">We do not collect your bank’s transaction data on our servers in the</w:t>
      </w:r>
      <w:r>
        <w:t xml:space="preserve"> </w:t>
      </w:r>
      <w:r>
        <w:t xml:space="preserve">default deployment. The Kilter Software runs in your environment.</w:t>
      </w:r>
    </w:p>
    <w:p>
      <w:pPr>
        <w:pStyle w:val="Compact"/>
        <w:numPr>
          <w:ilvl w:val="0"/>
          <w:numId w:val="1005"/>
        </w:numPr>
      </w:pPr>
      <w:r>
        <w:t xml:space="preserve">We do not collect biometric, health, racial, religious, or other</w:t>
      </w:r>
      <w:r>
        <w:t xml:space="preserve"> </w:t>
      </w:r>
      <w:r>
        <w:t xml:space="preserve">special-category data.</w:t>
      </w:r>
    </w:p>
    <w:p>
      <w:pPr>
        <w:pStyle w:val="Compact"/>
        <w:numPr>
          <w:ilvl w:val="0"/>
          <w:numId w:val="1005"/>
        </w:numPr>
      </w:pPr>
      <w:r>
        <w:t xml:space="preserve">We do not collect data about children. Kilter is a B2B product and is</w:t>
      </w:r>
      <w:r>
        <w:t xml:space="preserve"> </w:t>
      </w:r>
      <w:r>
        <w:t xml:space="preserve">not directed at individuals under 18.</w:t>
      </w:r>
    </w:p>
    <w:bookmarkEnd w:id="13"/>
    <w:bookmarkEnd w:id="14"/>
    <w:bookmarkStart w:id="15" w:name="how-we-use-personal-data"/>
    <w:p>
      <w:pPr>
        <w:pStyle w:val="Heading2"/>
      </w:pPr>
      <w:r>
        <w:t xml:space="preserve">3. How We Use Personal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Legal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Replying to your enquiry; setting up a demo or pilot</w:t>
            </w:r>
          </w:p>
        </w:tc>
        <w:tc>
          <w:tcPr/>
          <w:p>
            <w:pPr>
              <w:pStyle w:val="Compact"/>
            </w:pPr>
            <w:r>
              <w:t xml:space="preserve">Performance of a contract / legitimate interest in responding to inbound interest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Delivering the Software, providing support, sending release notes</w:t>
            </w:r>
          </w:p>
        </w:tc>
        <w:tc>
          <w:tcPr/>
          <w:p>
            <w:pPr>
              <w:pStyle w:val="Compact"/>
            </w:pPr>
            <w:r>
              <w:t xml:space="preserve">Performance of a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Sending occasional product updates to existing customers</w:t>
            </w:r>
          </w:p>
        </w:tc>
        <w:tc>
          <w:tcPr/>
          <w:p>
            <w:pPr>
              <w:pStyle w:val="Compact"/>
            </w:pPr>
            <w:r>
              <w:t xml:space="preserve">Legitimate interest, with opt-out in every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Securing our website and detecting abuse</w:t>
            </w:r>
          </w:p>
        </w:tc>
        <w:tc>
          <w:tcPr/>
          <w:p>
            <w:pPr>
              <w:pStyle w:val="Compact"/>
            </w:pPr>
            <w:r>
              <w:t xml:space="preserve">Legitimate interest in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Complying with legal obligations (tax, accounting, regulatory)</w:t>
            </w:r>
          </w:p>
        </w:tc>
        <w:tc>
          <w:tcPr/>
          <w:p>
            <w:pPr>
              <w:pStyle w:val="Compact"/>
            </w:pPr>
            <w:r>
              <w:t xml:space="preserve">Legal obligation</w:t>
            </w:r>
          </w:p>
        </w:tc>
      </w:tr>
    </w:tbl>
    <w:p>
      <w:pPr>
        <w:pStyle w:val="BodyText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sell personal data. We do not use it for automated</w:t>
      </w:r>
      <w:r>
        <w:t xml:space="preserve"> </w:t>
      </w:r>
      <w:r>
        <w:t xml:space="preserve">decision-making with legal or similarly significant effects.</w:t>
      </w:r>
    </w:p>
    <w:bookmarkEnd w:id="15"/>
    <w:bookmarkStart w:id="16" w:name="sharing"/>
    <w:p>
      <w:pPr>
        <w:pStyle w:val="Heading2"/>
      </w:pPr>
      <w:r>
        <w:t xml:space="preserve">4. Sharing</w:t>
      </w:r>
    </w:p>
    <w:p>
      <w:pPr>
        <w:pStyle w:val="FirstParagraph"/>
      </w:pPr>
      <w:r>
        <w:t xml:space="preserve">We share personal data only with: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Service providers</w:t>
      </w:r>
      <w:r>
        <w:t xml:space="preserve"> </w:t>
      </w:r>
      <w:r>
        <w:t xml:space="preserve">acting as processors on our behalf (e.g., email</w:t>
      </w:r>
      <w:r>
        <w:t xml:space="preserve"> </w:t>
      </w:r>
      <w:r>
        <w:t xml:space="preserve">hosting, calendaring, accounting). These providers are contractually</w:t>
      </w:r>
      <w:r>
        <w:t xml:space="preserve"> </w:t>
      </w:r>
      <w:r>
        <w:t xml:space="preserve">bound and may not use your data for their own purposes.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Professional advisors</w:t>
      </w:r>
      <w:r>
        <w:t xml:space="preserve"> </w:t>
      </w:r>
      <w:r>
        <w:t xml:space="preserve">(lawyers, auditors, accountants) under</w:t>
      </w:r>
      <w:r>
        <w:t xml:space="preserve"> </w:t>
      </w:r>
      <w:r>
        <w:t xml:space="preserve">professional confidentiality.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Authorities</w:t>
      </w:r>
      <w:r>
        <w:t xml:space="preserve">, if compelled by valid legal process. We will</w:t>
      </w:r>
      <w:r>
        <w:t xml:space="preserve"> </w:t>
      </w:r>
      <w:r>
        <w:t xml:space="preserve">challenge overly broad requests and will give you notice unless</w:t>
      </w:r>
      <w:r>
        <w:t xml:space="preserve"> </w:t>
      </w:r>
      <w:r>
        <w:t xml:space="preserve">prohibited by law.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successor</w:t>
      </w:r>
      <w:r>
        <w:t xml:space="preserve"> </w:t>
      </w:r>
      <w:r>
        <w:t xml:space="preserve">in the event of a merger, acquisition, or sale of</w:t>
      </w:r>
      <w:r>
        <w:t xml:space="preserve"> </w:t>
      </w:r>
      <w:r>
        <w:t xml:space="preserve">substantially all of our assets, subject to equivalent privacy</w:t>
      </w:r>
      <w:r>
        <w:t xml:space="preserve"> </w:t>
      </w:r>
      <w:r>
        <w:t xml:space="preserve">commitments.</w:t>
      </w:r>
    </w:p>
    <w:p>
      <w:pPr>
        <w:pStyle w:val="FirstParagraph"/>
      </w:pPr>
      <w:r>
        <w:t xml:space="preserve">We do not share or sell personal data for advertising.</w:t>
      </w:r>
    </w:p>
    <w:bookmarkEnd w:id="16"/>
    <w:bookmarkStart w:id="17" w:name="international-transfers"/>
    <w:p>
      <w:pPr>
        <w:pStyle w:val="Heading2"/>
      </w:pPr>
      <w:r>
        <w:t xml:space="preserve">5. International Transfers</w:t>
      </w:r>
    </w:p>
    <w:p>
      <w:pPr>
        <w:pStyle w:val="FirstParagraph"/>
      </w:pPr>
      <w:r>
        <w:t xml:space="preserve">If you are located in the European Economic Area, the United Kingdom, or</w:t>
      </w:r>
      <w:r>
        <w:t xml:space="preserve"> </w:t>
      </w:r>
      <w:r>
        <w:t xml:space="preserve">another jurisdiction with cross-border transfer rules, your personal</w:t>
      </w:r>
      <w:r>
        <w:t xml:space="preserve"> </w:t>
      </w:r>
      <w:r>
        <w:t xml:space="preserve">data may be transferred to Ghana (where we are headquartered) and to</w:t>
      </w:r>
      <w:r>
        <w:t xml:space="preserve"> </w:t>
      </w:r>
      <w:r>
        <w:t xml:space="preserve">service providers located in [REGIONS]. Where required, we rely on</w:t>
      </w:r>
      <w:r>
        <w:t xml:space="preserve"> </w:t>
      </w:r>
      <w:r>
        <w:t xml:space="preserve">Standard Contractual Clauses or other lawful transfer mechanisms.</w:t>
      </w:r>
    </w:p>
    <w:bookmarkEnd w:id="17"/>
    <w:bookmarkStart w:id="18" w:name="retention"/>
    <w:p>
      <w:pPr>
        <w:pStyle w:val="Heading2"/>
      </w:pPr>
      <w:r>
        <w:t xml:space="preserve">6. Retention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server logs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/ pilot enquiries that did not convert</w:t>
            </w:r>
          </w:p>
        </w:tc>
        <w:tc>
          <w:tcPr/>
          <w:p>
            <w:pPr>
              <w:pStyle w:val="Compact"/>
            </w:pPr>
            <w:r>
              <w:t xml:space="preserve">24 months from last 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support tickets</w:t>
            </w:r>
          </w:p>
        </w:tc>
        <w:tc>
          <w:tcPr/>
          <w:p>
            <w:pPr>
              <w:pStyle w:val="Compact"/>
            </w:pPr>
            <w:r>
              <w:t xml:space="preserve">Term of the relationship + 36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Tax, accounting, and regulatory records</w:t>
            </w:r>
          </w:p>
        </w:tc>
        <w:tc>
          <w:tcPr/>
          <w:p>
            <w:pPr>
              <w:pStyle w:val="Compact"/>
            </w:pPr>
            <w:r>
              <w:t xml:space="preserve">As required by law (typically 6 years in Ghana)</w:t>
            </w:r>
          </w:p>
        </w:tc>
      </w:tr>
    </w:tbl>
    <w:bookmarkEnd w:id="18"/>
    <w:bookmarkStart w:id="19" w:name="your-rights"/>
    <w:p>
      <w:pPr>
        <w:pStyle w:val="Heading2"/>
      </w:pPr>
      <w:r>
        <w:t xml:space="preserve">7. Your Rights</w:t>
      </w:r>
    </w:p>
    <w:p>
      <w:pPr>
        <w:pStyle w:val="FirstParagraph"/>
      </w:pPr>
      <w:r>
        <w:t xml:space="preserve">Subject to Applicable Privacy Law, you have the right to:</w:t>
      </w:r>
    </w:p>
    <w:p>
      <w:pPr>
        <w:pStyle w:val="Compact"/>
        <w:numPr>
          <w:ilvl w:val="0"/>
          <w:numId w:val="1007"/>
        </w:numPr>
      </w:pPr>
      <w:r>
        <w:t xml:space="preserve">Access the personal data we hold about you.</w:t>
      </w:r>
    </w:p>
    <w:p>
      <w:pPr>
        <w:pStyle w:val="Compact"/>
        <w:numPr>
          <w:ilvl w:val="0"/>
          <w:numId w:val="1007"/>
        </w:numPr>
      </w:pPr>
      <w:r>
        <w:t xml:space="preserve">Request correction of inaccurate data.</w:t>
      </w:r>
    </w:p>
    <w:p>
      <w:pPr>
        <w:pStyle w:val="Compact"/>
        <w:numPr>
          <w:ilvl w:val="0"/>
          <w:numId w:val="1007"/>
        </w:numPr>
      </w:pPr>
      <w:r>
        <w:t xml:space="preserve">Request deletion (subject to retention obligations).</w:t>
      </w:r>
    </w:p>
    <w:p>
      <w:pPr>
        <w:pStyle w:val="Compact"/>
        <w:numPr>
          <w:ilvl w:val="0"/>
          <w:numId w:val="1007"/>
        </w:numPr>
      </w:pPr>
      <w:r>
        <w:t xml:space="preserve">Object to or restrict certain processing.</w:t>
      </w:r>
    </w:p>
    <w:p>
      <w:pPr>
        <w:pStyle w:val="Compact"/>
        <w:numPr>
          <w:ilvl w:val="0"/>
          <w:numId w:val="1007"/>
        </w:numPr>
      </w:pPr>
      <w:r>
        <w:t xml:space="preserve">Receive your data in a portable format.</w:t>
      </w:r>
    </w:p>
    <w:p>
      <w:pPr>
        <w:pStyle w:val="Compact"/>
        <w:numPr>
          <w:ilvl w:val="0"/>
          <w:numId w:val="1007"/>
        </w:numPr>
      </w:pPr>
      <w:r>
        <w:t xml:space="preserve">Withdraw consent where we rely on consent.</w:t>
      </w:r>
    </w:p>
    <w:p>
      <w:pPr>
        <w:pStyle w:val="Compact"/>
        <w:numPr>
          <w:ilvl w:val="0"/>
          <w:numId w:val="1007"/>
        </w:numPr>
      </w:pPr>
      <w:r>
        <w:t xml:space="preserve">Lodge a complaint with a supervisory authority — in Ghana, the</w:t>
      </w:r>
      <w:r>
        <w:t xml:space="preserve"> </w:t>
      </w:r>
      <w:r>
        <w:rPr>
          <w:b/>
          <w:bCs/>
        </w:rPr>
        <w:t xml:space="preserve">Data</w:t>
      </w:r>
      <w:r>
        <w:rPr>
          <w:b/>
          <w:bCs/>
        </w:rPr>
        <w:t xml:space="preserve"> </w:t>
      </w:r>
      <w:r>
        <w:rPr>
          <w:b/>
          <w:bCs/>
        </w:rPr>
        <w:t xml:space="preserve">Protection Commission</w:t>
      </w:r>
      <w:r>
        <w:t xml:space="preserve"> </w:t>
      </w:r>
      <w:r>
        <w:t xml:space="preserve">([dataprotection.org.gh]).</w:t>
      </w:r>
    </w:p>
    <w:p>
      <w:pPr>
        <w:pStyle w:val="FirstParagraph"/>
      </w:pPr>
      <w:r>
        <w:t xml:space="preserve">To exercise any of these rights, contact</w:t>
      </w:r>
      <w:r>
        <w:t xml:space="preserve"> </w:t>
      </w:r>
      <w:r>
        <w:rPr>
          <w:b/>
          <w:bCs/>
        </w:rPr>
        <w:t xml:space="preserve">privacy@kilter.com</w:t>
      </w:r>
      <w:r>
        <w:t xml:space="preserve">. We will</w:t>
      </w:r>
      <w:r>
        <w:t xml:space="preserve"> </w:t>
      </w:r>
      <w:r>
        <w:t xml:space="preserve">respond within thirty (30) days, or sooner where required by law.</w:t>
      </w:r>
    </w:p>
    <w:bookmarkEnd w:id="19"/>
    <w:bookmarkStart w:id="20" w:name="security"/>
    <w:p>
      <w:pPr>
        <w:pStyle w:val="Heading2"/>
      </w:pPr>
      <w:r>
        <w:t xml:space="preserve">8. Security</w:t>
      </w:r>
    </w:p>
    <w:p>
      <w:pPr>
        <w:pStyle w:val="FirstParagraph"/>
      </w:pPr>
      <w:r>
        <w:t xml:space="preserve">We protect personal data with appropriate technical and organisational</w:t>
      </w:r>
      <w:r>
        <w:t xml:space="preserve"> </w:t>
      </w:r>
      <w:r>
        <w:t xml:space="preserve">measures, including encryption, access controls, MFA on all internal</w:t>
      </w:r>
      <w:r>
        <w:t xml:space="preserve"> </w:t>
      </w:r>
      <w:r>
        <w:t xml:space="preserve">systems, and regular review. No system is perfectly secure; if you</w:t>
      </w:r>
      <w:r>
        <w:t xml:space="preserve"> </w:t>
      </w:r>
      <w:r>
        <w:t xml:space="preserve">believe an account or data has been compromised, contact</w:t>
      </w:r>
      <w:r>
        <w:t xml:space="preserve"> </w:t>
      </w:r>
      <w:r>
        <w:rPr>
          <w:b/>
          <w:bCs/>
        </w:rPr>
        <w:t xml:space="preserve">security@kilter.com</w:t>
      </w:r>
      <w:r>
        <w:t xml:space="preserve"> </w:t>
      </w:r>
      <w:r>
        <w:t xml:space="preserve">immediately.</w:t>
      </w:r>
    </w:p>
    <w:bookmarkEnd w:id="20"/>
    <w:bookmarkStart w:id="21" w:name="cookies"/>
    <w:p>
      <w:pPr>
        <w:pStyle w:val="Heading2"/>
      </w:pPr>
      <w:r>
        <w:t xml:space="preserve">9. Cookies</w:t>
      </w:r>
    </w:p>
    <w:p>
      <w:pPr>
        <w:pStyle w:val="FirstParagraph"/>
      </w:pPr>
      <w:r>
        <w:t xml:space="preserve">Our website uses only</w:t>
      </w:r>
      <w:r>
        <w:t xml:space="preserve"> </w:t>
      </w:r>
      <w:r>
        <w:rPr>
          <w:b/>
          <w:bCs/>
        </w:rPr>
        <w:t xml:space="preserve">strictly necessary</w:t>
      </w:r>
      <w:r>
        <w:t xml:space="preserve"> </w:t>
      </w:r>
      <w:r>
        <w:t xml:space="preserve">cookies — a session cookie</w:t>
      </w:r>
      <w:r>
        <w:t xml:space="preserve"> </w:t>
      </w:r>
      <w:r>
        <w:t xml:space="preserve">to keep you logged in if you sign in to a customer dashboard, and a</w:t>
      </w:r>
      <w:r>
        <w:t xml:space="preserve"> </w:t>
      </w:r>
      <w:r>
        <w:t xml:space="preserve">preference cookie to remember whether you accepted this notice. We do</w:t>
      </w:r>
      <w:r>
        <w:t xml:space="preserve"> </w:t>
      </w:r>
      <w:r>
        <w:t xml:space="preserve">not use advertising or cross-site tracking cookies.</w:t>
      </w:r>
    </w:p>
    <w:bookmarkEnd w:id="21"/>
    <w:bookmarkStart w:id="22" w:name="childrens-privacy"/>
    <w:p>
      <w:pPr>
        <w:pStyle w:val="Heading2"/>
      </w:pPr>
      <w:r>
        <w:t xml:space="preserve">10. Children’s Privacy</w:t>
      </w:r>
    </w:p>
    <w:p>
      <w:pPr>
        <w:pStyle w:val="FirstParagraph"/>
      </w:pPr>
      <w:r>
        <w:t xml:space="preserve">Kilter is a B2B product. We do not knowingly collect personal data from</w:t>
      </w:r>
      <w:r>
        <w:t xml:space="preserve"> </w:t>
      </w:r>
      <w:r>
        <w:t xml:space="preserve">anyone under 18. If you believe a child has provided us data, contact</w:t>
      </w:r>
      <w:r>
        <w:t xml:space="preserve"> </w:t>
      </w:r>
      <w:r>
        <w:rPr>
          <w:b/>
          <w:bCs/>
        </w:rPr>
        <w:t xml:space="preserve">privacy@kilter.com</w:t>
      </w:r>
      <w:r>
        <w:t xml:space="preserve"> </w:t>
      </w:r>
      <w:r>
        <w:t xml:space="preserve">and we will delete it.</w:t>
      </w:r>
    </w:p>
    <w:bookmarkEnd w:id="22"/>
    <w:bookmarkStart w:id="23" w:name="changes-to-this-policy"/>
    <w:p>
      <w:pPr>
        <w:pStyle w:val="Heading2"/>
      </w:pPr>
      <w:r>
        <w:t xml:space="preserve">11. Changes to this Policy</w:t>
      </w:r>
    </w:p>
    <w:p>
      <w:pPr>
        <w:pStyle w:val="FirstParagraph"/>
      </w:pPr>
      <w:r>
        <w:t xml:space="preserve">We may update this Policy from time to time. Material changes will be</w:t>
      </w:r>
      <w:r>
        <w:t xml:space="preserve"> </w:t>
      </w:r>
      <w:r>
        <w:t xml:space="preserve">notified by email to active customers and posted on our website at least</w:t>
      </w:r>
      <w:r>
        <w:t xml:space="preserve"> </w:t>
      </w:r>
      <w:r>
        <w:t xml:space="preserve">thirty (30) days before taking effect.</w:t>
      </w:r>
    </w:p>
    <w:bookmarkEnd w:id="23"/>
    <w:bookmarkStart w:id="24" w:name="contact-us"/>
    <w:p>
      <w:pPr>
        <w:pStyle w:val="Heading2"/>
      </w:pPr>
      <w:r>
        <w:t xml:space="preserve">12. Contact Us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Kilter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[REGISTERED OFFICE], Ghana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privacy@kilter.com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 Commission (Ghana)</w:t>
            </w:r>
          </w:p>
        </w:tc>
        <w:tc>
          <w:tcPr/>
          <w:p>
            <w:pPr>
              <w:pStyle w:val="Compact"/>
            </w:pPr>
            <w:r>
              <w:t xml:space="preserve">https://www.dataprotection.org.gh</w:t>
            </w: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2026-04-25T17:23:05Z</dcterms:created>
  <dcterms:modified xsi:type="dcterms:W3CDTF">2026-04-25T17:23:05Z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