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rchitecture-kilter"/>
    <w:p>
      <w:pPr>
        <w:pStyle w:val="Heading1"/>
      </w:pPr>
      <w:r>
        <w:t xml:space="preserve">Architecture — Kilter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the bank’s enterprise architect / security architect.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answer</w:t>
      </w:r>
      <w:r>
        <w:t xml:space="preserve"> </w:t>
      </w:r>
      <w:r>
        <w:t xml:space="preserve">“where does my data go, who can touch it, and what</w:t>
      </w:r>
      <w:r>
        <w:t xml:space="preserve"> </w:t>
      </w:r>
      <w:r>
        <w:t xml:space="preserve">trust boundaries exist?”</w:t>
      </w:r>
      <w:r>
        <w:t xml:space="preserve"> </w:t>
      </w:r>
      <w:r>
        <w:t xml:space="preserve">without requiring them to read source.</w:t>
      </w:r>
    </w:p>
    <w:p>
      <w:r>
        <w:pict>
          <v:rect style="width:0;height:1.5pt" o:hralign="center" o:hrstd="t" o:hr="t"/>
        </w:pict>
      </w:r>
    </w:p>
    <w:bookmarkStart w:id="9" w:name="deployment-topology"/>
    <w:p>
      <w:pPr>
        <w:pStyle w:val="Heading2"/>
      </w:pPr>
      <w:r>
        <w:t xml:space="preserve">1. Deployment topology</w:t>
      </w:r>
    </w:p>
    <w:p>
      <w:pPr>
        <w:pStyle w:val="FirstParagraph"/>
      </w:pPr>
      <w:r>
        <w:t xml:space="preserve">Kilter is</w:t>
      </w:r>
      <w:r>
        <w:t xml:space="preserve"> </w:t>
      </w:r>
      <w:r>
        <w:rPr>
          <w:b/>
          <w:bCs/>
        </w:rPr>
        <w:t xml:space="preserve">shipped as a self-hosted container</w:t>
      </w:r>
      <w:r>
        <w:t xml:space="preserve">. The default</w:t>
      </w:r>
      <w:r>
        <w:t xml:space="preserve"> </w:t>
      </w:r>
      <w:r>
        <w:t xml:space="preserve">deployment is single-node, on-premises or in the customer’s private</w:t>
      </w:r>
      <w:r>
        <w:t xml:space="preserve"> </w:t>
      </w:r>
      <w:r>
        <w:t xml:space="preserve">cloud. There is no Kilter-operated cloud unless the customer</w:t>
      </w:r>
      <w:r>
        <w:t xml:space="preserve"> </w:t>
      </w:r>
      <w:r>
        <w:t xml:space="preserve">specifically opts into a managed-hosting addendum (rare for banks).</w:t>
      </w:r>
    </w:p>
    <w:p>
      <w:pPr>
        <w:pStyle w:val="SourceCode"/>
      </w:pPr>
      <w:r>
        <w:rPr>
          <w:rStyle w:val="VerbatimChar"/>
        </w:rPr>
        <w:t xml:space="preserve">              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          CUSTOMER NETWORK (BANK)               │</w:t>
      </w:r>
      <w:r>
        <w:br/>
      </w:r>
      <w:r>
        <w:rPr>
          <w:rStyle w:val="VerbatimChar"/>
        </w:rPr>
        <w:t xml:space="preserve">                   │                                                   │</w:t>
      </w:r>
      <w:r>
        <w:br/>
      </w:r>
      <w:r>
        <w:rPr>
          <w:rStyle w:val="VerbatimChar"/>
        </w:rPr>
        <w:t xml:space="preserve">   Operator        │   ┌──────────────┐         ┌─────────────────┐   │</w:t>
      </w:r>
      <w:r>
        <w:br/>
      </w:r>
      <w:r>
        <w:rPr>
          <w:rStyle w:val="VerbatimChar"/>
        </w:rPr>
        <w:t xml:space="preserve">   browser  ──TLS──┼──►│ Reverse proxy│──HTTP──►│  Kilter         │   │</w:t>
      </w:r>
      <w:r>
        <w:br/>
      </w:r>
      <w:r>
        <w:rPr>
          <w:rStyle w:val="VerbatimChar"/>
        </w:rPr>
        <w:t xml:space="preserve">                   │   │ (nginx/Caddy)│         │  container      │   │</w:t>
      </w:r>
      <w:r>
        <w:br/>
      </w:r>
      <w:r>
        <w:rPr>
          <w:rStyle w:val="VerbatimChar"/>
        </w:rPr>
        <w:t xml:space="preserve">                   │   └──────────────┘         │  - uvicorn      │   │</w:t>
      </w:r>
      <w:r>
        <w:br/>
      </w:r>
      <w:r>
        <w:rPr>
          <w:rStyle w:val="VerbatimChar"/>
        </w:rPr>
        <w:t xml:space="preserve">                   │                            │  - SQLite       │   │</w:t>
      </w:r>
      <w:r>
        <w:br/>
      </w:r>
      <w:r>
        <w:rPr>
          <w:rStyle w:val="VerbatimChar"/>
        </w:rPr>
        <w:t xml:space="preserve">                   │                            │  - scheduler    │   │</w:t>
      </w:r>
      <w:r>
        <w:br/>
      </w:r>
      <w:r>
        <w:rPr>
          <w:rStyle w:val="VerbatimChar"/>
        </w:rPr>
        <w:t xml:space="preserve">                   │                            └────────┬────────┘   │</w:t>
      </w:r>
      <w:r>
        <w:br/>
      </w:r>
      <w:r>
        <w:rPr>
          <w:rStyle w:val="VerbatimChar"/>
        </w:rPr>
        <w:t xml:space="preserve">                   │                                     │            │</w:t>
      </w:r>
      <w:r>
        <w:br/>
      </w:r>
      <w:r>
        <w:rPr>
          <w:rStyle w:val="VerbatimChar"/>
        </w:rPr>
        <w:t xml:space="preserve">                   │                              ┌──────▼──────┐     │</w:t>
      </w:r>
      <w:r>
        <w:br/>
      </w:r>
      <w:r>
        <w:rPr>
          <w:rStyle w:val="VerbatimChar"/>
        </w:rPr>
        <w:t xml:space="preserve">                   │                              │ Persistent  │     │</w:t>
      </w:r>
      <w:r>
        <w:br/>
      </w:r>
      <w:r>
        <w:rPr>
          <w:rStyle w:val="VerbatimChar"/>
        </w:rPr>
        <w:t xml:space="preserve">                   │                              │ volumes:    │     │</w:t>
      </w:r>
      <w:r>
        <w:br/>
      </w:r>
      <w:r>
        <w:rPr>
          <w:rStyle w:val="VerbatimChar"/>
        </w:rPr>
        <w:t xml:space="preserve">                   │                              │  /data      │     │</w:t>
      </w:r>
      <w:r>
        <w:br/>
      </w:r>
      <w:r>
        <w:rPr>
          <w:rStyle w:val="VerbatimChar"/>
        </w:rPr>
        <w:t xml:space="preserve">                   │                              │  /messages  │     │</w:t>
      </w:r>
      <w:r>
        <w:br/>
      </w:r>
      <w:r>
        <w:rPr>
          <w:rStyle w:val="VerbatimChar"/>
        </w:rPr>
        <w:t xml:space="preserve">                   │                              │  /uploads   │     │</w:t>
      </w:r>
      <w:r>
        <w:br/>
      </w:r>
      <w:r>
        <w:rPr>
          <w:rStyle w:val="VerbatimChar"/>
        </w:rPr>
        <w:t xml:space="preserve">                   │                              │  /exports   │     │</w:t>
      </w:r>
      <w:r>
        <w:br/>
      </w:r>
      <w:r>
        <w:rPr>
          <w:rStyle w:val="VerbatimChar"/>
        </w:rPr>
        <w:t xml:space="preserve">                   │                              └─────────────┘     │</w:t>
      </w:r>
      <w:r>
        <w:br/>
      </w:r>
      <w:r>
        <w:rPr>
          <w:rStyle w:val="VerbatimChar"/>
        </w:rPr>
        <w:t xml:space="preserve">                   │           ┌──────────────────┐                   │</w:t>
      </w:r>
      <w:r>
        <w:br/>
      </w:r>
      <w:r>
        <w:rPr>
          <w:rStyle w:val="VerbatimChar"/>
        </w:rPr>
        <w:t xml:space="preserve">                   │           │ Active Directory │ ◄─LDAPS (optional)│</w:t>
      </w:r>
      <w:r>
        <w:br/>
      </w:r>
      <w:r>
        <w:rPr>
          <w:rStyle w:val="VerbatimChar"/>
        </w:rPr>
        <w:t xml:space="preserve">                   │           └──────────────────┘                   │</w:t>
      </w:r>
      <w:r>
        <w:br/>
      </w:r>
      <w:r>
        <w:rPr>
          <w:rStyle w:val="VerbatimChar"/>
        </w:rPr>
        <w:t xml:space="preserve">                   │           ┌──────────────────┐                   │</w:t>
      </w:r>
      <w:r>
        <w:br/>
      </w:r>
      <w:r>
        <w:rPr>
          <w:rStyle w:val="VerbatimChar"/>
        </w:rPr>
        <w:t xml:space="preserve">                   │           │ SMTP relay       │ ◄─optional        │</w:t>
      </w:r>
      <w:r>
        <w:br/>
      </w:r>
      <w:r>
        <w:rPr>
          <w:rStyle w:val="VerbatimChar"/>
        </w:rPr>
        <w:t xml:space="preserve">                   │           └──────────────────┘                   │</w:t>
      </w:r>
      <w:r>
        <w:br/>
      </w:r>
      <w:r>
        <w:rPr>
          <w:rStyle w:val="VerbatimChar"/>
        </w:rPr>
        <w:t xml:space="preserve">                   │                                              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▲</w:t>
      </w:r>
      <w:r>
        <w:br/>
      </w:r>
      <w:r>
        <w:rPr>
          <w:rStyle w:val="VerbatimChar"/>
        </w:rPr>
        <w:t xml:space="preserve">                                │ All inbound and outbound</w:t>
      </w:r>
      <w:r>
        <w:br/>
      </w:r>
      <w:r>
        <w:rPr>
          <w:rStyle w:val="VerbatimChar"/>
        </w:rPr>
        <w:t xml:space="preserve">                                │ flows stay within the</w:t>
      </w:r>
      <w:r>
        <w:br/>
      </w:r>
      <w:r>
        <w:rPr>
          <w:rStyle w:val="VerbatimChar"/>
        </w:rPr>
        <w:t xml:space="preserve">                                │ customer's network.</w:t>
      </w:r>
      <w:r>
        <w:br/>
      </w:r>
      <w:r>
        <w:rPr>
          <w:rStyle w:val="VerbatimChar"/>
        </w:rPr>
        <w:t xml:space="preserve">                                │ No phone-home from Kilter.</w:t>
      </w:r>
    </w:p>
    <w:bookmarkEnd w:id="9"/>
    <w:bookmarkStart w:id="10" w:name="components"/>
    <w:p>
      <w:pPr>
        <w:pStyle w:val="Heading2"/>
      </w:pPr>
      <w:r>
        <w:t xml:space="preserve">2.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Reverse proxy (customer-supplied)</w:t>
            </w:r>
          </w:p>
        </w:tc>
        <w:tc>
          <w:tcPr/>
          <w:p>
            <w:pPr>
              <w:pStyle w:val="Compact"/>
            </w:pPr>
            <w:r>
              <w:t xml:space="preserve">TLS termination, WAF if any, rate limiting</w:t>
            </w:r>
          </w:p>
        </w:tc>
        <w:tc>
          <w:tcPr/>
          <w:p>
            <w:pPr>
              <w:pStyle w:val="Compact"/>
            </w:pPr>
            <w:r>
              <w:t xml:space="preserve">Customer’s existing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uvicorn + FastAPI</w:t>
            </w:r>
          </w:p>
        </w:tc>
        <w:tc>
          <w:tcPr/>
          <w:p>
            <w:pPr>
              <w:pStyle w:val="Compact"/>
            </w:pPr>
            <w:r>
              <w:t xml:space="preserve">HTTP API + Jinja2 server-rendered UI</w:t>
            </w:r>
          </w:p>
        </w:tc>
        <w:tc>
          <w:tcPr/>
          <w:p>
            <w:pPr>
              <w:pStyle w:val="Compact"/>
            </w:pPr>
            <w:r>
              <w:t xml:space="preserve">Logs to stdout (rotated by 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Background scheduler (in-process daemon thread)</w:t>
            </w:r>
          </w:p>
        </w:tc>
        <w:tc>
          <w:tcPr/>
          <w:p>
            <w:pPr>
              <w:pStyle w:val="Compact"/>
            </w:pPr>
            <w:r>
              <w:t xml:space="preserve">Polls</w:t>
            </w:r>
            <w:r>
              <w:t xml:space="preserve"> </w:t>
            </w:r>
            <w:r>
              <w:rPr>
                <w:rStyle w:val="VerbatimChar"/>
              </w:rPr>
              <w:t xml:space="preserve">/messages</w:t>
            </w:r>
            <w:r>
              <w:t xml:space="preserve"> </w:t>
            </w:r>
            <w:r>
              <w:t xml:space="preserve">for new statement files; runs daily SLA digest</w:t>
            </w:r>
          </w:p>
        </w:tc>
        <w:tc>
          <w:tcPr/>
          <w:p>
            <w:pPr>
              <w:pStyle w:val="Compact"/>
            </w:pPr>
            <w:r>
              <w:t xml:space="preserve">Same 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TOTP (pyotp)</w:t>
            </w:r>
          </w:p>
        </w:tc>
        <w:tc>
          <w:tcPr/>
          <w:p>
            <w:pPr>
              <w:pStyle w:val="Compact"/>
            </w:pPr>
            <w:r>
              <w:t xml:space="preserve">Second factor on every login</w:t>
            </w:r>
          </w:p>
        </w:tc>
        <w:tc>
          <w:tcPr/>
          <w:p>
            <w:pPr>
              <w:pStyle w:val="Compact"/>
            </w:pPr>
            <w:r>
              <w:t xml:space="preserve">Encrypted in</w:t>
            </w:r>
            <w:r>
              <w:t xml:space="preserve"> </w:t>
            </w:r>
            <w:r>
              <w:rPr>
                <w:rStyle w:val="VerbatimChar"/>
              </w:rPr>
              <w:t xml:space="preserve">users.totp_secret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LDAP (ldap3) — optional</w:t>
            </w:r>
          </w:p>
        </w:tc>
        <w:tc>
          <w:tcPr/>
          <w:p>
            <w:pPr>
              <w:pStyle w:val="Compact"/>
            </w:pPr>
            <w:r>
              <w:t xml:space="preserve">Password layer (per-user opt-in)</w:t>
            </w:r>
          </w:p>
        </w:tc>
        <w:tc>
          <w:tcPr/>
          <w:p>
            <w:pPr>
              <w:pStyle w:val="Compact"/>
            </w:pPr>
            <w:r>
              <w:t xml:space="preserve">None on Kilter side; binds to AD on each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Session tokens (</w:t>
            </w:r>
            <w:r>
              <w:rPr>
                <w:rStyle w:val="VerbatimChar"/>
              </w:rPr>
              <w:t xml:space="preserve">secrets.token_urlsafe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Bearer auth via</w:t>
            </w:r>
            <w:r>
              <w:t xml:space="preserve"> </w:t>
            </w:r>
            <w:r>
              <w:rPr>
                <w:rStyle w:val="VerbatimChar"/>
              </w:rPr>
              <w:t xml:space="preserve">X-Session-Token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user_sessions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SQLite (WAL mode)</w:t>
            </w:r>
          </w:p>
        </w:tc>
        <w:tc>
          <w:tcPr/>
          <w:p>
            <w:pPr>
              <w:pStyle w:val="Compact"/>
            </w:pPr>
            <w:r>
              <w:t xml:space="preserve">Application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/data/kilter.db</w:t>
            </w:r>
            <w:r>
              <w:t xml:space="preserve"> </w:t>
            </w: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Statement files in/out,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/exports</w:t>
            </w:r>
            <w:r>
              <w:t xml:space="preserve"> </w:t>
            </w:r>
            <w:r>
              <w:t xml:space="preserve">volumes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Fernet (cryptography 47)</w:t>
            </w:r>
          </w:p>
        </w:tc>
        <w:tc>
          <w:tcPr/>
          <w:p>
            <w:pPr>
              <w:pStyle w:val="Compact"/>
            </w:pPr>
            <w:r>
              <w:t xml:space="preserve">At-rest encryption of TOTP secrets and SMTP credentials</w:t>
            </w:r>
          </w:p>
        </w:tc>
        <w:tc>
          <w:tcPr/>
          <w:p>
            <w:pPr>
              <w:pStyle w:val="Compact"/>
            </w:pPr>
            <w:r>
              <w:t xml:space="preserve">Key sourced from</w:t>
            </w:r>
            <w:r>
              <w:t xml:space="preserve"> </w:t>
            </w:r>
            <w:r>
              <w:rPr>
                <w:rStyle w:val="VerbatimChar"/>
              </w:rPr>
              <w:t xml:space="preserve">KILTER_SECRET_KEY</w:t>
            </w:r>
            <w:r>
              <w:t xml:space="preserve"> </w:t>
            </w:r>
            <w:r>
              <w:t xml:space="preserve">env var</w:t>
            </w:r>
          </w:p>
        </w:tc>
      </w:tr>
    </w:tbl>
    <w:bookmarkEnd w:id="10"/>
    <w:bookmarkStart w:id="11" w:name="data-flow-reconciliation"/>
    <w:p>
      <w:pPr>
        <w:pStyle w:val="Heading2"/>
      </w:pPr>
      <w:r>
        <w:t xml:space="preserve">3. Data flow — reconciliation</w:t>
      </w:r>
    </w:p>
    <w:p>
      <w:pPr>
        <w:pStyle w:val="SourceCode"/>
      </w:pPr>
      <w:r>
        <w:rPr>
          <w:rStyle w:val="VerbatimChar"/>
        </w:rPr>
        <w:t xml:space="preserve">   SWIFT MT/camt file ──┐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Flexcube xlsx     ───┼─► /messages spool ─► scheduler ─► ingest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           ▼</w:t>
      </w:r>
      <w:r>
        <w:br/>
      </w:r>
      <w:r>
        <w:rPr>
          <w:rStyle w:val="VerbatimChar"/>
        </w:rPr>
        <w:t xml:space="preserve">                        │                  parsed canonical txns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           ▼</w:t>
      </w:r>
      <w:r>
        <w:br/>
      </w:r>
      <w:r>
        <w:rPr>
          <w:rStyle w:val="VerbatimChar"/>
        </w:rPr>
        <w:t xml:space="preserve">                        │                   recon_engine</w:t>
      </w:r>
      <w:r>
        <w:br/>
      </w:r>
      <w:r>
        <w:rPr>
          <w:rStyle w:val="VerbatimChar"/>
        </w:rPr>
        <w:t xml:space="preserve">                        │                  (4-tier matching)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           ▼</w:t>
      </w:r>
      <w:r>
        <w:br/>
      </w:r>
      <w:r>
        <w:rPr>
          <w:rStyle w:val="VerbatimChar"/>
        </w:rPr>
        <w:t xml:space="preserve">                        │                  candidate set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│              ▼                     ▼</w:t>
      </w:r>
      <w:r>
        <w:br/>
      </w:r>
      <w:r>
        <w:rPr>
          <w:rStyle w:val="VerbatimChar"/>
        </w:rPr>
        <w:t xml:space="preserve">                        │         confirmed              ambiguous</w:t>
      </w:r>
      <w:r>
        <w:br/>
      </w:r>
      <w:r>
        <w:rPr>
          <w:rStyle w:val="VerbatimChar"/>
        </w:rPr>
        <w:t xml:space="preserve">                        │       (auto-committed)       (review queue)</w:t>
      </w:r>
      <w:r>
        <w:br/>
      </w:r>
      <w:r>
        <w:rPr>
          <w:rStyle w:val="VerbatimChar"/>
        </w:rPr>
        <w:t xml:space="preserve">                        │              │                     │</w:t>
      </w:r>
      <w:r>
        <w:br/>
      </w:r>
      <w:r>
        <w:rPr>
          <w:rStyle w:val="VerbatimChar"/>
        </w:rPr>
        <w:t xml:space="preserve">                        │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│                         ▼</w:t>
      </w:r>
      <w:r>
        <w:br/>
      </w:r>
      <w:r>
        <w:rPr>
          <w:rStyle w:val="VerbatimChar"/>
        </w:rPr>
        <w:t xml:space="preserve">                        │                  reconciliation_certificates</w:t>
      </w:r>
      <w:r>
        <w:br/>
      </w:r>
      <w:r>
        <w:rPr>
          <w:rStyle w:val="VerbatimChar"/>
        </w:rPr>
        <w:t xml:space="preserve">                        │                  (maker/checker/approver)</w:t>
      </w:r>
      <w:r>
        <w:br/>
      </w:r>
      <w:r>
        <w:rPr>
          <w:rStyle w:val="VerbatimChar"/>
        </w:rPr>
        <w:t xml:space="preserve">                        │                         │</w:t>
      </w:r>
      <w:r>
        <w:br/>
      </w:r>
      <w:r>
        <w:rPr>
          <w:rStyle w:val="VerbatimChar"/>
        </w:rPr>
        <w:t xml:space="preserve">                        │                         ▼</w:t>
      </w:r>
      <w:r>
        <w:br/>
      </w:r>
      <w:r>
        <w:rPr>
          <w:rStyle w:val="VerbatimChar"/>
        </w:rPr>
        <w:t xml:space="preserve">                        │                  signed certificate</w:t>
      </w:r>
      <w:r>
        <w:br/>
      </w:r>
      <w:r>
        <w:rPr>
          <w:rStyle w:val="VerbatimChar"/>
        </w:rPr>
        <w:t xml:space="preserve">                        │                  (frozen snapshot, immutable)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exports/ (xlsx, audit pack)</w:t>
      </w:r>
    </w:p>
    <w:p>
      <w:pPr>
        <w:pStyle w:val="FirstParagraph"/>
      </w:pPr>
      <w:r>
        <w:t xml:space="preserve">No transaction data leaves the customer environment. Aggregated,</w:t>
      </w:r>
      <w:r>
        <w:t xml:space="preserve"> </w:t>
      </w:r>
      <w:r>
        <w:t xml:space="preserve">anonymised operational metrics (parser throughput, match rates) may be</w:t>
      </w:r>
      <w:r>
        <w:t xml:space="preserve"> </w:t>
      </w:r>
      <w:r>
        <w:t xml:space="preserve">collected only with the customer’s explicit opt-in per the DPA.</w:t>
      </w:r>
    </w:p>
    <w:bookmarkEnd w:id="11"/>
    <w:bookmarkStart w:id="12" w:name="trust-boundaries"/>
    <w:p>
      <w:pPr>
        <w:pStyle w:val="Heading2"/>
      </w:pPr>
      <w:r>
        <w:t xml:space="preserve">4. Trust boundaries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↔ reverse proxy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yes (customer cert)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proxy ↔ container</w:t>
            </w:r>
          </w:p>
        </w:tc>
        <w:tc>
          <w:tcPr/>
          <w:p>
            <w:pPr>
              <w:pStyle w:val="Compact"/>
            </w:pPr>
            <w:r>
              <w:t xml:space="preserve">inbound (loopback)</w:t>
            </w:r>
          </w:p>
        </w:tc>
        <w:tc>
          <w:tcPr/>
          <w:p>
            <w:pPr>
              <w:pStyle w:val="Compact"/>
            </w:pPr>
            <w:r>
              <w:t xml:space="preserve">none (proxy is trusted)</w:t>
            </w:r>
          </w:p>
        </w:tc>
        <w:tc>
          <w:tcPr/>
          <w:p>
            <w:pPr>
              <w:pStyle w:val="Compact"/>
            </w:pPr>
            <w:r>
              <w:t xml:space="preserve">no — within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↔ AD/LDAP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service account + per-user bind</w:t>
            </w:r>
          </w:p>
        </w:tc>
        <w:tc>
          <w:tcPr/>
          <w:p>
            <w:pPr>
              <w:pStyle w:val="Compact"/>
            </w:pPr>
            <w:r>
              <w:t xml:space="preserve">LDAPS / TLS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↔ SMTP relay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SMTP AUTH if configured; password encrypted in DB</w:t>
            </w:r>
          </w:p>
        </w:tc>
        <w:tc>
          <w:tcPr/>
          <w:p>
            <w:pPr>
              <w:pStyle w:val="Compact"/>
            </w:pPr>
            <w:r>
              <w:t xml:space="preserve">STARTTLS where supported by the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↔ Flexcube DB (Oracle)</w:t>
            </w:r>
          </w:p>
        </w:tc>
        <w:tc>
          <w:tcPr/>
          <w:p>
            <w:pPr>
              <w:pStyle w:val="Compact"/>
            </w:pPr>
            <w:r>
              <w:t xml:space="preserve">outbound,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DB credentials in env var</w:t>
            </w:r>
          </w:p>
        </w:tc>
        <w:tc>
          <w:tcPr/>
          <w:p>
            <w:pPr>
              <w:pStyle w:val="Compact"/>
            </w:pPr>
            <w:r>
              <w:t xml:space="preserve">TNS / TCP — bank-owned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↔ filesystem volumes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customer-provided FDE recommended</w:t>
            </w:r>
          </w:p>
        </w:tc>
      </w:tr>
    </w:tbl>
    <w:bookmarkEnd w:id="12"/>
    <w:bookmarkStart w:id="16" w:name="authentication-and-authorisation"/>
    <w:p>
      <w:pPr>
        <w:pStyle w:val="Heading2"/>
      </w:pPr>
      <w:r>
        <w:t xml:space="preserve">5. Authentication and authorisation</w:t>
      </w:r>
    </w:p>
    <w:bookmarkStart w:id="13" w:name="authentication-factors"/>
    <w:p>
      <w:pPr>
        <w:pStyle w:val="Heading3"/>
      </w:pPr>
      <w:r>
        <w:t xml:space="preserve">Authentication factors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factor (per-user choice):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auth_source = 'local'</w:t>
      </w:r>
      <w:r>
        <w:t xml:space="preserve"> </w:t>
      </w:r>
      <w:r>
        <w:t xml:space="preserve">(default): no first factor — TOTP-only.</w:t>
      </w:r>
      <w:r>
        <w:t xml:space="preserve"> </w:t>
      </w:r>
      <w:r>
        <w:t xml:space="preserve">Reserved for the bootstrap admin and emergency-access accounts.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auth_source = 'ldap'</w:t>
      </w:r>
      <w:r>
        <w:t xml:space="preserve">: password verified against AD via LDAPS.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 factor (always):</w:t>
      </w:r>
      <w:r>
        <w:t xml:space="preserve"> </w:t>
      </w:r>
      <w:r>
        <w:t xml:space="preserve">TOTP via Microsoft Authenticator</w:t>
      </w:r>
      <w:r>
        <w:t xml:space="preserve"> </w:t>
      </w:r>
      <w:r>
        <w:t xml:space="preserve">(RFC 6238, SHA-1, 6 digits, 30s period, ±30s drift window).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Session:</w:t>
      </w:r>
      <w:r>
        <w:t xml:space="preserve"> </w:t>
      </w:r>
      <w:r>
        <w:t xml:space="preserve">opaque 256-bit token in</w:t>
      </w:r>
      <w:r>
        <w:t xml:space="preserve"> </w:t>
      </w:r>
      <w:r>
        <w:rPr>
          <w:rStyle w:val="VerbatimChar"/>
        </w:rPr>
        <w:t xml:space="preserve">X-Session-Token</w:t>
      </w:r>
      <w:r>
        <w:t xml:space="preserve">, server-side</w:t>
      </w:r>
      <w:r>
        <w:t xml:space="preserve"> </w:t>
      </w:r>
      <w:r>
        <w:t xml:space="preserve">state, revocable by an admin and on role/auth-source change.</w:t>
      </w:r>
    </w:p>
    <w:bookmarkEnd w:id="13"/>
    <w:bookmarkStart w:id="14" w:name="session-lifecycle"/>
    <w:p>
      <w:pPr>
        <w:pStyle w:val="Heading3"/>
      </w:pPr>
      <w:r>
        <w:t xml:space="preserve">Session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Successful login</w:t>
            </w:r>
          </w:p>
        </w:tc>
        <w:tc>
          <w:tcPr/>
          <w:p>
            <w:pPr>
              <w:pStyle w:val="Compact"/>
            </w:pPr>
            <w:r>
              <w:t xml:space="preserve">New row in</w:t>
            </w:r>
            <w:r>
              <w:t xml:space="preserve"> </w:t>
            </w:r>
            <w:r>
              <w:rPr>
                <w:rStyle w:val="VerbatimChar"/>
              </w:rPr>
              <w:t xml:space="preserve">user_sessions</w:t>
            </w:r>
            <w:r>
              <w:t xml:space="preserve">; absolute expiry 8h, idle expiry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authenticated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last_used_at</w:t>
            </w:r>
            <w:r>
              <w:t xml:space="preserve"> </w:t>
            </w:r>
            <w:r>
              <w:t xml:space="preserve">slides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&gt; 30 min</w:t>
            </w:r>
          </w:p>
        </w:tc>
        <w:tc>
          <w:tcPr/>
          <w:p>
            <w:pPr>
              <w:pStyle w:val="Compact"/>
            </w:pPr>
            <w:r>
              <w:t xml:space="preserve">Token rejected; user re-authenticates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&gt; 8h</w:t>
            </w:r>
          </w:p>
        </w:tc>
        <w:tc>
          <w:tcPr/>
          <w:p>
            <w:pPr>
              <w:pStyle w:val="Compact"/>
            </w:pPr>
            <w:r>
              <w:t xml:space="preserve">Token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deactivates user</w:t>
            </w:r>
          </w:p>
        </w:tc>
        <w:tc>
          <w:tcPr/>
          <w:p>
            <w:pPr>
              <w:pStyle w:val="Compact"/>
            </w:pPr>
            <w:r>
              <w:t xml:space="preserve">All user’s tokens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changes role or auth_source</w:t>
            </w:r>
          </w:p>
        </w:tc>
        <w:tc>
          <w:tcPr/>
          <w:p>
            <w:pPr>
              <w:pStyle w:val="Compact"/>
            </w:pPr>
            <w:r>
              <w:t xml:space="preserve">All user’s tokens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Caller’s token revoked</w:t>
            </w:r>
          </w:p>
        </w:tc>
      </w:tr>
    </w:tbl>
    <w:bookmarkEnd w:id="14"/>
    <w:bookmarkStart w:id="15" w:name="authorisation-model"/>
    <w:p>
      <w:pPr>
        <w:pStyle w:val="Heading3"/>
      </w:pPr>
      <w:r>
        <w:t xml:space="preserve">Authorisation model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ops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internal_control</w:t>
      </w:r>
      <w:r>
        <w:t xml:space="preserve">. Enforced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require_role()</w:t>
      </w:r>
      <w:r>
        <w:t xml:space="preserve"> </w:t>
      </w:r>
      <w:r>
        <w:t xml:space="preserve">dependency on every state-changing endpoint.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Access-area scope:</w:t>
      </w:r>
      <w:r>
        <w:t xml:space="preserve"> </w:t>
      </w:r>
      <w:r>
        <w:t xml:space="preserve">each account is tagged with an</w:t>
      </w:r>
      <w:r>
        <w:t xml:space="preserve"> </w:t>
      </w:r>
      <w:r>
        <w:rPr>
          <w:rStyle w:val="VerbatimChar"/>
        </w:rPr>
        <w:t xml:space="preserve">access_area</w:t>
      </w:r>
      <w:r>
        <w:t xml:space="preserve"> </w:t>
      </w:r>
      <w:r>
        <w:t xml:space="preserve">(e.g., region, business unit). A user’s session has an active scope</w:t>
      </w:r>
      <w:r>
        <w:t xml:space="preserve"> </w:t>
      </w:r>
      <w:r>
        <w:t xml:space="preserve">list; reads are filtered to that scope, writes are pre-checked</w:t>
      </w:r>
      <w:r>
        <w:t xml:space="preserve"> </w:t>
      </w:r>
      <w:r>
        <w:t xml:space="preserve">against it. Helpers:</w:t>
      </w:r>
      <w:r>
        <w:t xml:space="preserve"> </w:t>
      </w:r>
      <w:r>
        <w:rPr>
          <w:rStyle w:val="VerbatimChar"/>
        </w:rPr>
        <w:t xml:space="preserve">_scope_clause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_assert_account_in_scope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Four-eyes on certificates:</w:t>
      </w:r>
      <w:r>
        <w:t xml:space="preserve"> </w:t>
      </w:r>
      <w:r>
        <w:t xml:space="preserve">prepare (ops) → review</w:t>
      </w:r>
      <w:r>
        <w:t xml:space="preserve"> </w:t>
      </w:r>
      <w:r>
        <w:t xml:space="preserve">(internal_control) → sign (admin). Same person can’t sign their own</w:t>
      </w:r>
      <w:r>
        <w:t xml:space="preserve"> </w:t>
      </w:r>
      <w:r>
        <w:t xml:space="preserve">preparation; the role checks enforce that mechanically.</w:t>
      </w:r>
    </w:p>
    <w:bookmarkEnd w:id="15"/>
    <w:bookmarkEnd w:id="16"/>
    <w:bookmarkStart w:id="18" w:name="encryption"/>
    <w:p>
      <w:pPr>
        <w:pStyle w:val="Heading2"/>
      </w:pPr>
      <w:r>
        <w:t xml:space="preserve">6. Encryption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At rest</w:t>
            </w:r>
          </w:p>
        </w:tc>
        <w:tc>
          <w:tcPr/>
          <w:p>
            <w:pPr>
              <w:pStyle w:val="Compact"/>
            </w:pPr>
            <w:r>
              <w:t xml:space="preserve">In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TOTP secrets</w:t>
            </w:r>
          </w:p>
        </w:tc>
        <w:tc>
          <w:tcPr/>
          <w:p>
            <w:pPr>
              <w:pStyle w:val="Compact"/>
            </w:pPr>
            <w:r>
              <w:t xml:space="preserve">Fernet (AES-128-CBC + HMAC-SHA256)</w:t>
            </w:r>
          </w:p>
        </w:tc>
        <w:tc>
          <w:tcPr/>
          <w:p>
            <w:pPr>
              <w:pStyle w:val="Compact"/>
            </w:pPr>
            <w:r>
              <w:t xml:space="preserve">TLS to client; never sent server→client after enrollment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 password (notification channels)</w:t>
            </w:r>
          </w:p>
        </w:tc>
        <w:tc>
          <w:tcPr/>
          <w:p>
            <w:pPr>
              <w:pStyle w:val="Compact"/>
            </w:pPr>
            <w:r>
              <w:t xml:space="preserve">Fernet</w:t>
            </w:r>
          </w:p>
        </w:tc>
        <w:tc>
          <w:tcPr/>
          <w:p>
            <w:pPr>
              <w:pStyle w:val="Compact"/>
            </w:pPr>
            <w:r>
              <w:t xml:space="preserve">STARTTLS to the relay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tokens</w:t>
            </w:r>
          </w:p>
        </w:tc>
        <w:tc>
          <w:tcPr/>
          <w:p>
            <w:pPr>
              <w:pStyle w:val="Compact"/>
            </w:pPr>
            <w:r>
              <w:t xml:space="preserve">None — tokens are random 256-bit secrets, equivalent to plaintext passwords for this purpose</w:t>
            </w:r>
          </w:p>
        </w:tc>
        <w:tc>
          <w:tcPr/>
          <w:p>
            <w:pPr>
              <w:pStyle w:val="Compact"/>
            </w:pPr>
            <w:r>
              <w:t xml:space="preserve">TLS to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Statement file content</w:t>
            </w:r>
          </w:p>
        </w:tc>
        <w:tc>
          <w:tcPr/>
          <w:p>
            <w:pPr>
              <w:pStyle w:val="Compact"/>
            </w:pPr>
            <w:r>
              <w:t xml:space="preserve">None at the application layer; customer-side FDE recommended</w:t>
            </w:r>
          </w:p>
        </w:tc>
        <w:tc>
          <w:tcPr/>
          <w:p>
            <w:pPr>
              <w:pStyle w:val="Compact"/>
            </w:pPr>
            <w:r>
              <w:t xml:space="preserve">TLS for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content</w:t>
            </w:r>
          </w:p>
        </w:tc>
        <w:tc>
          <w:tcPr/>
          <w:p>
            <w:pPr>
              <w:pStyle w:val="Compact"/>
            </w:pPr>
            <w:r>
              <w:t xml:space="preserve">None — already non-sensitive after redaction (no payment-card data, no special-category data)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</w:tr>
    </w:tbl>
    <w:p>
      <w:pPr>
        <w:pStyle w:val="BodyText"/>
      </w:pPr>
      <w:r>
        <w:t xml:space="preserve">The encryption key (</w:t>
      </w:r>
      <w:r>
        <w:rPr>
          <w:rStyle w:val="VerbatimChar"/>
        </w:rPr>
        <w:t xml:space="preserve">KILTER_SECRET_KEY</w:t>
      </w:r>
      <w:r>
        <w:t xml:space="preserve">) is a single 256-bit Fernet</w:t>
      </w:r>
      <w:r>
        <w:t xml:space="preserve"> </w:t>
      </w:r>
      <w:r>
        <w:t xml:space="preserve">key, sourced from environment variable, secret manager (Vault / AWS</w:t>
      </w:r>
      <w:r>
        <w:t xml:space="preserve"> </w:t>
      </w:r>
      <w:r>
        <w:t xml:space="preserve">SM / 1Password), or — only on dev — a</w:t>
      </w:r>
      <w:r>
        <w:t xml:space="preserve"> </w:t>
      </w:r>
      <w:r>
        <w:rPr>
          <w:rStyle w:val="VerbatimChar"/>
        </w:rPr>
        <w:t xml:space="preserve">.kilter_secret_key</w:t>
      </w:r>
      <w:r>
        <w:t xml:space="preserve"> </w:t>
      </w:r>
      <w:r>
        <w:t xml:space="preserve">file</w:t>
      </w:r>
      <w:r>
        <w:t xml:space="preserve"> </w:t>
      </w:r>
      <w:r>
        <w:t xml:space="preserve">generated on first run with mode 0600. Operators are expected to</w:t>
      </w:r>
      <w:r>
        <w:t xml:space="preserve"> </w:t>
      </w:r>
      <w:r>
        <w:t xml:space="preserve">promote dev-host keys to env-var-only before pilot start; the</w:t>
      </w:r>
      <w:r>
        <w:t xml:space="preserve"> </w:t>
      </w:r>
      <w:hyperlink r:id="rId17">
        <w:r>
          <w:rPr>
            <w:rStyle w:val="Hyperlink"/>
          </w:rPr>
          <w:t xml:space="preserve">OPERATOR_NOTES.md</w:t>
        </w:r>
      </w:hyperlink>
      <w:r>
        <w:t xml:space="preserve"> </w:t>
      </w:r>
      <w:r>
        <w:t xml:space="preserve">covers the procedure.</w:t>
      </w:r>
    </w:p>
    <w:bookmarkEnd w:id="18"/>
    <w:bookmarkStart w:id="19" w:name="logging-and-audit"/>
    <w:p>
      <w:pPr>
        <w:pStyle w:val="Heading2"/>
      </w:pPr>
      <w:r>
        <w:t xml:space="preserve">7. Logging and audit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Application logs:</w:t>
      </w:r>
      <w:r>
        <w:t xml:space="preserve"> </w:t>
      </w:r>
      <w:r>
        <w:t xml:space="preserve">stdout, captured by Docker’s json-file driver</w:t>
      </w:r>
      <w:r>
        <w:t xml:space="preserve"> </w:t>
      </w:r>
      <w:r>
        <w:t xml:space="preserve">with rotation (10 MB × 5). Customer ships these to their SIEM via</w:t>
      </w:r>
      <w:r>
        <w:t xml:space="preserve"> </w:t>
      </w:r>
      <w:r>
        <w:t xml:space="preserve">the host’s existing log pipeline.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log:</w:t>
      </w:r>
      <w:r>
        <w:t xml:space="preserve"> </w:t>
      </w:r>
      <w:r>
        <w:t xml:space="preserve">dedicated SQLite table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 append-only by</w:t>
      </w:r>
      <w:r>
        <w:t xml:space="preserve"> </w:t>
      </w:r>
      <w:r>
        <w:t xml:space="preserve">convention. Captures authentication events, MFA enrollment, session</w:t>
      </w:r>
      <w:r>
        <w:t xml:space="preserve"> </w:t>
      </w:r>
      <w:r>
        <w:t xml:space="preserve">issuance/revocation, configuration changes, certificate transitions,</w:t>
      </w:r>
      <w:r>
        <w:t xml:space="preserve"> </w:t>
      </w:r>
      <w:r>
        <w:t xml:space="preserve">reconciliation decisions. Each row carries actor, action, timestamp,</w:t>
      </w:r>
      <w:r>
        <w:t xml:space="preserve"> </w:t>
      </w:r>
      <w:r>
        <w:t xml:space="preserve">and a JSON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blob.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Failed-login telemetry:</w:t>
      </w:r>
      <w:r>
        <w:t xml:space="preserve"> </w:t>
      </w:r>
      <w:r>
        <w:rPr>
          <w:rStyle w:val="VerbatimChar"/>
        </w:rPr>
        <w:t xml:space="preserve">audit_log.action = 'login_failed'</w:t>
      </w:r>
      <w:r>
        <w:t xml:space="preserve"> </w:t>
      </w:r>
      <w:r>
        <w:t xml:space="preserve">rows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details.reason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ldap:bind_failed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ldap:user_not_found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ldap:service_bind_failed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totp</w:t>
      </w:r>
      <w:r>
        <w:t xml:space="preserve">) so SOC analysts can distinguish</w:t>
      </w:r>
      <w:r>
        <w:t xml:space="preserve"> </w:t>
      </w:r>
      <w:r>
        <w:t xml:space="preserve">password-spray from TOTP-misconfig from infrastructure outage.</w:t>
      </w:r>
    </w:p>
    <w:bookmarkEnd w:id="19"/>
    <w:bookmarkStart w:id="20" w:name="hardening-posture"/>
    <w:p>
      <w:pPr>
        <w:pStyle w:val="Heading2"/>
      </w:pPr>
      <w:r>
        <w:t xml:space="preserve">8. Hardening posture</w:t>
      </w:r>
    </w:p>
    <w:p>
      <w:pPr>
        <w:pStyle w:val="FirstParagraph"/>
      </w:pPr>
      <w:r>
        <w:t xml:space="preserve">What ships hardened:</w:t>
      </w:r>
    </w:p>
    <w:p>
      <w:pPr>
        <w:pStyle w:val="Compact"/>
        <w:numPr>
          <w:ilvl w:val="0"/>
          <w:numId w:val="1005"/>
        </w:numPr>
      </w:pPr>
      <w:r>
        <w:t xml:space="preserve">Non-root container user (UID 10001).</w:t>
      </w:r>
    </w:p>
    <w:p>
      <w:pPr>
        <w:pStyle w:val="Compact"/>
        <w:numPr>
          <w:ilvl w:val="0"/>
          <w:numId w:val="1005"/>
        </w:numPr>
      </w:pPr>
      <w:r>
        <w:t xml:space="preserve">All Linux capabilities dropped;</w:t>
      </w:r>
      <w:r>
        <w:t xml:space="preserve"> </w:t>
      </w:r>
      <w:r>
        <w:rPr>
          <w:rStyle w:val="VerbatimChar"/>
        </w:rPr>
        <w:t xml:space="preserve">no-new-privileges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05"/>
        </w:numPr>
      </w:pPr>
      <w:r>
        <w:t xml:space="preserve">Read-only root filesystem; only the four mounted volumes plus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(tmpfs, 64 MB) are writable.</w:t>
      </w:r>
    </w:p>
    <w:p>
      <w:pPr>
        <w:pStyle w:val="Compact"/>
        <w:numPr>
          <w:ilvl w:val="0"/>
          <w:numId w:val="1005"/>
        </w:numPr>
      </w:pPr>
      <w:r>
        <w:t xml:space="preserve">HSTS (preload-eligible), CSP, X-Frame-Options: DENY, X-Content-</w:t>
      </w:r>
      <w:r>
        <w:t xml:space="preserve"> </w:t>
      </w:r>
      <w:r>
        <w:t xml:space="preserve">Type-Options, Referrer-Policy, Permissions-Policy on every</w:t>
      </w:r>
      <w:r>
        <w:t xml:space="preserve"> </w:t>
      </w:r>
      <w:r>
        <w:t xml:space="preserve">response.</w:t>
      </w:r>
    </w:p>
    <w:p>
      <w:pPr>
        <w:pStyle w:val="Compact"/>
        <w:numPr>
          <w:ilvl w:val="0"/>
          <w:numId w:val="1005"/>
        </w:numPr>
      </w:pPr>
      <w:r>
        <w:t xml:space="preserve">Auto-generated OpenAPI docs disabled in production.</w:t>
      </w:r>
    </w:p>
    <w:p>
      <w:pPr>
        <w:pStyle w:val="Compact"/>
        <w:numPr>
          <w:ilvl w:val="0"/>
          <w:numId w:val="1005"/>
        </w:numPr>
      </w:pPr>
      <w:r>
        <w:t xml:space="preserve">50 MB request-body cap; reverse-proxy further-cap recommended.</w:t>
      </w:r>
    </w:p>
    <w:p>
      <w:pPr>
        <w:pStyle w:val="Compact"/>
        <w:numPr>
          <w:ilvl w:val="0"/>
          <w:numId w:val="1005"/>
        </w:numPr>
      </w:pPr>
      <w:r>
        <w:t xml:space="preserve">10/min rate limit on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Pinned dependency versions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no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ranges.</w:t>
      </w:r>
    </w:p>
    <w:p>
      <w:pPr>
        <w:pStyle w:val="FirstParagraph"/>
      </w:pPr>
      <w:r>
        <w:t xml:space="preserve">What is the customer’s responsibility:</w:t>
      </w:r>
    </w:p>
    <w:p>
      <w:pPr>
        <w:pStyle w:val="Compact"/>
        <w:numPr>
          <w:ilvl w:val="0"/>
          <w:numId w:val="1006"/>
        </w:numPr>
      </w:pPr>
      <w:r>
        <w:t xml:space="preserve">Reverse-proxy TLS configuration and cipher suite policy.</w:t>
      </w:r>
    </w:p>
    <w:p>
      <w:pPr>
        <w:pStyle w:val="Compact"/>
        <w:numPr>
          <w:ilvl w:val="0"/>
          <w:numId w:val="1006"/>
        </w:numPr>
      </w:pPr>
      <w:r>
        <w:t xml:space="preserve">Network segmentation around the container.</w:t>
      </w:r>
    </w:p>
    <w:p>
      <w:pPr>
        <w:pStyle w:val="Compact"/>
        <w:numPr>
          <w:ilvl w:val="0"/>
          <w:numId w:val="1006"/>
        </w:numPr>
      </w:pPr>
      <w:r>
        <w:t xml:space="preserve">Volume-level encryption (full-disk encryption at rest).</w:t>
      </w:r>
    </w:p>
    <w:p>
      <w:pPr>
        <w:pStyle w:val="Compact"/>
        <w:numPr>
          <w:ilvl w:val="0"/>
          <w:numId w:val="1006"/>
        </w:numPr>
      </w:pPr>
      <w:r>
        <w:t xml:space="preserve">SIEM ingestion of stdout logs.</w:t>
      </w:r>
    </w:p>
    <w:p>
      <w:pPr>
        <w:pStyle w:val="Compact"/>
        <w:numPr>
          <w:ilvl w:val="0"/>
          <w:numId w:val="1006"/>
        </w:numPr>
      </w:pPr>
      <w:r>
        <w:t xml:space="preserve">Backup encryption and offsite shipment.</w:t>
      </w:r>
    </w:p>
    <w:p>
      <w:pPr>
        <w:pStyle w:val="Compact"/>
        <w:numPr>
          <w:ilvl w:val="0"/>
          <w:numId w:val="1006"/>
        </w:numPr>
      </w:pPr>
      <w:r>
        <w:t xml:space="preserve">Patch cadence of the underlying Docker host.</w:t>
      </w:r>
    </w:p>
    <w:bookmarkEnd w:id="20"/>
    <w:bookmarkStart w:id="21" w:name="whats-intentionally-not-in-this-picture"/>
    <w:p>
      <w:pPr>
        <w:pStyle w:val="Heading2"/>
      </w:pPr>
      <w:r>
        <w:t xml:space="preserve">9. What’s intentionally not in this picture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 mesh / sidecar.</w:t>
      </w:r>
      <w:r>
        <w:t xml:space="preserve"> </w:t>
      </w:r>
      <w:r>
        <w:t xml:space="preserve">Single-container scope. A future</w:t>
      </w:r>
      <w:r>
        <w:t xml:space="preserve"> </w:t>
      </w:r>
      <w:r>
        <w:t xml:space="preserve">multi-tenant SaaS path would introduce mTLS via Istio/Linkerd; that’s</w:t>
      </w:r>
      <w:r>
        <w:t xml:space="preserve"> </w:t>
      </w:r>
      <w:r>
        <w:t xml:space="preserve">not in the pilot.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Public/internet-facing surface.</w:t>
      </w:r>
      <w:r>
        <w:t xml:space="preserve"> </w:t>
      </w:r>
      <w:r>
        <w:t xml:space="preserve">Kilter is internal-use-only by</w:t>
      </w:r>
      <w:r>
        <w:t xml:space="preserve"> </w:t>
      </w:r>
      <w:r>
        <w:t xml:space="preserve">design.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Multi-region replication.</w:t>
      </w:r>
      <w:r>
        <w:t xml:space="preserve"> </w:t>
      </w:r>
      <w:r>
        <w:t xml:space="preserve">Single-node SQLite. A future Postgres</w:t>
      </w:r>
      <w:r>
        <w:t xml:space="preserve"> </w:t>
      </w:r>
      <w:r>
        <w:t xml:space="preserve">backend would unlock streaming replication.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HSM-backed key.</w:t>
      </w:r>
      <w:r>
        <w:t xml:space="preserve"> </w:t>
      </w:r>
      <w:r>
        <w:rPr>
          <w:rStyle w:val="VerbatimChar"/>
        </w:rPr>
        <w:t xml:space="preserve">KILTER_SECRET_KEY</w:t>
      </w:r>
      <w:r>
        <w:t xml:space="preserve"> </w:t>
      </w:r>
      <w:r>
        <w:t xml:space="preserve">is held in env / secret</w:t>
      </w:r>
      <w:r>
        <w:t xml:space="preserve"> </w:t>
      </w:r>
      <w:r>
        <w:t xml:space="preserve">manager, not an HSM. Banks that mandate HSM-rooted keys can be</w:t>
      </w:r>
      <w:r>
        <w:t xml:space="preserve"> </w:t>
      </w:r>
      <w:r>
        <w:t xml:space="preserve">accommodated via a wrapping shim that decrypts the key inside the</w:t>
      </w:r>
      <w:r>
        <w:t xml:space="preserve"> </w:t>
      </w:r>
      <w:r>
        <w:t xml:space="preserve">container at startup; needs scoping per deployment.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docs/OPERATOR_NO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docs/OPERATOR_NO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2026-04-26T08:06:03Z</dcterms:created>
  <dcterms:modified xsi:type="dcterms:W3CDTF">2026-04-26T08:06:03Z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