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test-summary-kilter"/>
    <w:p>
      <w:pPr>
        <w:pStyle w:val="Heading1"/>
      </w:pPr>
      <w:r>
        <w:t xml:space="preserve">Pentest Summary — Kilter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2026-04-23 (initial), 2026-04-25 (remediation pass)</w:t>
      </w:r>
      <w:r>
        <w:t xml:space="preserve"> </w:t>
      </w:r>
      <w:r>
        <w:rPr>
          <w:b/>
          <w:bCs/>
        </w:rPr>
        <w:t xml:space="preserve">Engagement type:</w:t>
      </w:r>
      <w:r>
        <w:t xml:space="preserve"> </w:t>
      </w:r>
      <w:r>
        <w:t xml:space="preserve">Internal pentest — pre-pilot security pass.</w:t>
      </w:r>
      <w:r>
        <w:t xml:space="preserve"> </w:t>
      </w:r>
      <w:r>
        <w:rPr>
          <w:b/>
          <w:bCs/>
        </w:rPr>
        <w:t xml:space="preserve">Tester:</w:t>
      </w:r>
      <w:r>
        <w:t xml:space="preserve"> </w:t>
      </w:r>
      <w:r>
        <w:t xml:space="preserve">Engineering team (with AI-assisted coverage). Flagged</w:t>
      </w:r>
      <w:r>
        <w:t xml:space="preserve"> </w:t>
      </w:r>
      <w:r>
        <w:t xml:space="preserve">honestly: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third-party-attested test. An external</w:t>
      </w:r>
      <w:r>
        <w:t xml:space="preserve"> </w:t>
      </w:r>
      <w:r>
        <w:t xml:space="preserve">engagement (Bishop Fox / NCC Group / Big-4 cyber arm) is on the</w:t>
      </w:r>
      <w:r>
        <w:t xml:space="preserve"> </w:t>
      </w:r>
      <w:r>
        <w:t xml:space="preserve">roadmap and will be commissioned before the second paid customer.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All critical and high findings remediated. Medium/low</w:t>
      </w:r>
      <w:r>
        <w:t xml:space="preserve"> </w:t>
      </w:r>
      <w:r>
        <w:t xml:space="preserve">findings remediated through 2026-04-26.</w:t>
      </w:r>
      <w:r>
        <w:t xml:space="preserve"> </w:t>
      </w:r>
      <w:r>
        <w:rPr>
          <w:b/>
          <w:bCs/>
        </w:rPr>
        <w:t xml:space="preserve">Retest scheduled:</w:t>
      </w:r>
      <w:r>
        <w:t xml:space="preserve"> </w:t>
      </w:r>
      <w:r>
        <w:t xml:space="preserve">2026-09-30 (internal); external Q4 2026.</w:t>
      </w:r>
    </w:p>
    <w:p>
      <w:r>
        <w:pict>
          <v:rect style="width:0;height:1.5pt" o:hralign="center" o:hrstd="t" o:hr="t"/>
        </w:pic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In scope:</w:t>
      </w:r>
      <w:r>
        <w:t xml:space="preserve"> </w:t>
      </w:r>
      <w:r>
        <w:t xml:space="preserve">- Web application: FastAPI + Jinja2 frontend + SQLite backend.</w:t>
      </w:r>
      <w:r>
        <w:t xml:space="preserve"> </w:t>
      </w:r>
      <w:r>
        <w:t xml:space="preserve">- Authentication and session management (TOTP, session tokens, LDAP).</w:t>
      </w:r>
      <w:r>
        <w:t xml:space="preserve"> </w:t>
      </w:r>
      <w:r>
        <w:t xml:space="preserve">- File ingestion (SWIFT MT940/MT950, ISO 20022 camt.053/054, Flexcube</w:t>
      </w:r>
      <w:r>
        <w:t xml:space="preserve"> </w:t>
      </w:r>
      <w:r>
        <w:t xml:space="preserve">XLSX).</w:t>
      </w:r>
      <w:r>
        <w:t xml:space="preserve"> </w:t>
      </w:r>
      <w:r>
        <w:t xml:space="preserve">- Reconciliation engine: matching, decisions, certificate workflow.</w:t>
      </w:r>
      <w:r>
        <w:t xml:space="preserve"> </w:t>
      </w:r>
      <w:r>
        <w:t xml:space="preserve">- Container build (Dockerfile, docker-compose).</w:t>
      </w:r>
      <w:r>
        <w:t xml:space="preserve"> </w:t>
      </w:r>
      <w:r>
        <w:t xml:space="preserve">- Per-user access-area scope enforcement.</w:t>
      </w:r>
    </w:p>
    <w:p>
      <w:pPr>
        <w:pStyle w:val="BodyText"/>
      </w:pPr>
      <w:r>
        <w:t xml:space="preserve">Out of scope:</w:t>
      </w:r>
      <w:r>
        <w:t xml:space="preserve"> </w:t>
      </w:r>
      <w:r>
        <w:t xml:space="preserve">- Reverse-proxy / load-balancer hardening (customer responsibility).</w:t>
      </w:r>
      <w:r>
        <w:t xml:space="preserve"> </w:t>
      </w:r>
      <w:r>
        <w:t xml:space="preserve">- Cryptographic primitives in upstream libraries (</w:t>
      </w:r>
      <w:r>
        <w:rPr>
          <w:rStyle w:val="VerbatimChar"/>
        </w:rPr>
        <w:t xml:space="preserve">cryptography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pyotp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ldap3</w:t>
      </w:r>
      <w:r>
        <w:t xml:space="preserve">) — assumed sound; we use them via documented APIs</w:t>
      </w:r>
      <w:r>
        <w:t xml:space="preserve"> </w:t>
      </w:r>
      <w:r>
        <w:t xml:space="preserve">and have not modified them.</w:t>
      </w:r>
      <w:r>
        <w:t xml:space="preserve"> </w:t>
      </w:r>
      <w:r>
        <w:t xml:space="preserve">- Underlying OS / Docker host hardening (customer responsibility).</w:t>
      </w:r>
    </w:p>
    <w:bookmarkEnd w:id="9"/>
    <w:bookmarkStart w:id="1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Hybrid grey-box. Approximately: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 (2021)</w:t>
            </w:r>
          </w:p>
        </w:tc>
        <w:tc>
          <w:tcPr/>
          <w:p>
            <w:pPr>
              <w:pStyle w:val="Compact"/>
            </w:pPr>
            <w:r>
              <w:t xml:space="preserve">A01–A10 walked through against every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Brute-force, replay, session fixation, TOTP secret leakage, enrollment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IDOR scan on every numeric path parameter; scope leakage across access areas; role-confused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Path traversal, SQL injection, XXE, CSV injection in exports, LDAP filter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Token entropy, idle timeout, absolute expiry, revocation propagation, role-change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</w:pPr>
            <w:r>
              <w:t xml:space="preserve">Encryption coverage of TOTP secrets and SMTP credentials; key-rotation feasibility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</w:pPr>
            <w:r>
              <w:t xml:space="preserve">TLS posture, HSTS, CSP, secure-cookie placeholders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 base, non-root user, capability drop, read-only rootfs, healthcheck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hygiene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and Dependabot equivalents, pinned versions, EOL surfaces</w:t>
            </w:r>
          </w:p>
        </w:tc>
      </w:tr>
    </w:tbl>
    <w:bookmarkEnd w:id="10"/>
    <w:bookmarkStart w:id="17" w:name="findings"/>
    <w:p>
      <w:pPr>
        <w:pStyle w:val="Heading2"/>
      </w:pPr>
      <w:r>
        <w:t xml:space="preserve">Findings</w:t>
      </w:r>
    </w:p>
    <w:bookmarkStart w:id="11" w:name="critical-resolved"/>
    <w:p>
      <w:pPr>
        <w:pStyle w:val="Heading3"/>
      </w:pPr>
      <w:r>
        <w:t xml:space="preserve">Critical (resolved)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Broad unauthenticated read on list/dashboard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active_scope</w:t>
            </w:r>
            <w:r>
              <w:t xml:space="preserve"> </w:t>
            </w:r>
            <w:r>
              <w:t xml:space="preserve">dependency silently returned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for missing tokens, leaving every endpoint that depended on it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active_scope</w:t>
            </w:r>
            <w:r>
              <w:t xml:space="preserve"> </w:t>
            </w:r>
            <w:r>
              <w:t xml:space="preserve">now</w:t>
            </w:r>
            <w:r>
              <w:t xml:space="preserve"> </w:t>
            </w:r>
            <w:r>
              <w:rPr>
                <w:rStyle w:val="VerbatimChar"/>
              </w:rPr>
              <w:t xml:space="preserve">Depends(current_user)</w:t>
            </w:r>
            <w:r>
              <w:t xml:space="preserve"> </w:t>
            </w:r>
            <w:r>
              <w:t xml:space="preserve">first → 401 on missing/invalid/expired/revoked 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1"/>
    <w:bookmarkStart w:id="12" w:name="high-resolved"/>
    <w:p>
      <w:pPr>
        <w:pStyle w:val="Heading3"/>
      </w:pPr>
      <w:r>
        <w:t xml:space="preserve">High (resolved)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TOTP secrets stored in plaintext in</w:t>
            </w:r>
            <w:r>
              <w:t xml:space="preserve"> </w:t>
            </w:r>
            <w:r>
              <w:rPr>
                <w:rStyle w:val="VerbatimChar"/>
              </w:rPr>
              <w:t xml:space="preserve">users.totp_secret</w:t>
            </w:r>
          </w:p>
        </w:tc>
        <w:tc>
          <w:tcPr/>
          <w:p>
            <w:pPr>
              <w:pStyle w:val="Compact"/>
            </w:pPr>
            <w:r>
              <w:t xml:space="preserve">DB inspection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secrets_vault</w:t>
            </w:r>
            <w:r>
              <w:t xml:space="preserve"> </w:t>
            </w:r>
            <w:r>
              <w:t xml:space="preserve">(Fernet) + idempotent migration encrypts on next write;</w:t>
            </w:r>
            <w:r>
              <w:t xml:space="preserve"> </w:t>
            </w:r>
            <w:r>
              <w:rPr>
                <w:rStyle w:val="VerbatimChar"/>
              </w:rPr>
              <w:t xml:space="preserve">verify_totp</w:t>
            </w:r>
            <w:r>
              <w:t xml:space="preserve"> </w:t>
            </w:r>
            <w:r>
              <w:t xml:space="preserve">decrypts transparently with legacy-plaintext fallback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SMTP password for SLA email channel stored in plaintext in</w:t>
            </w:r>
            <w:r>
              <w:t xml:space="preserve"> </w:t>
            </w:r>
            <w:r>
              <w:rPr>
                <w:rStyle w:val="VerbatimChar"/>
              </w:rPr>
              <w:t xml:space="preserve">notification_channels</w:t>
            </w:r>
          </w:p>
        </w:tc>
        <w:tc>
          <w:tcPr/>
          <w:p>
            <w:pPr>
              <w:pStyle w:val="Compact"/>
            </w:pPr>
            <w:r>
              <w:t xml:space="preserve">DB inspection</w:t>
            </w:r>
          </w:p>
        </w:tc>
        <w:tc>
          <w:tcPr/>
          <w:p>
            <w:pPr>
              <w:pStyle w:val="Compact"/>
            </w:pPr>
            <w:r>
              <w:t xml:space="preserve">Same encryption path;</w:t>
            </w:r>
            <w:r>
              <w:t xml:space="preserve"> </w:t>
            </w:r>
            <w:r>
              <w:rPr>
                <w:rStyle w:val="VerbatimChar"/>
              </w:rPr>
              <w:t xml:space="preserve">_dispatch_email</w:t>
            </w:r>
            <w:r>
              <w:t xml:space="preserve"> </w:t>
            </w:r>
            <w:r>
              <w:t xml:space="preserve">decrypts at send 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Auto-generated API docs (</w:t>
            </w:r>
            <w:r>
              <w:rPr>
                <w:rStyle w:val="VerbatimChar"/>
              </w:rPr>
              <w:t xml:space="preserve">/docs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  <w:r>
              <w:t xml:space="preserve">) exposed every endpoint and payload schema unauthenticated</w:t>
            </w:r>
          </w:p>
        </w:tc>
        <w:tc>
          <w:tcPr/>
          <w:p>
            <w:pPr>
              <w:pStyle w:val="Compact"/>
            </w:pPr>
            <w:r>
              <w:t xml:space="preserve">Browser test</w:t>
            </w:r>
          </w:p>
        </w:tc>
        <w:tc>
          <w:tcPr/>
          <w:p>
            <w:pPr>
              <w:pStyle w:val="Compact"/>
            </w:pPr>
            <w:r>
              <w:t xml:space="preserve">Disabled at app construction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Enrollment flow round-tripped the TOTP secret through the client (</w:t>
            </w:r>
            <w:r>
              <w:rPr>
                <w:rStyle w:val="VerbatimChar"/>
              </w:rPr>
              <w:t xml:space="preserve">/enroll/start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/enroll/complete</w:t>
            </w:r>
            <w:r>
              <w:t xml:space="preserve"> </w:t>
            </w:r>
            <w:r>
              <w:t xml:space="preserve">payload)</w:t>
            </w:r>
          </w:p>
        </w:tc>
        <w:tc>
          <w:tcPr/>
          <w:p>
            <w:pPr>
              <w:pStyle w:val="Compact"/>
            </w:pPr>
            <w:r>
              <w:t xml:space="preserve">Network trace</w:t>
            </w:r>
          </w:p>
        </w:tc>
        <w:tc>
          <w:tcPr/>
          <w:p>
            <w:pPr>
              <w:pStyle w:val="Compact"/>
            </w:pPr>
            <w:r>
              <w:t xml:space="preserve">Server-side keying: secret stored encrypted on</w:t>
            </w:r>
            <w:r>
              <w:t xml:space="preserve"> </w:t>
            </w:r>
            <w:r>
              <w:rPr>
                <w:rStyle w:val="VerbatimChar"/>
              </w:rPr>
              <w:t xml:space="preserve">/enroll/start</w:t>
            </w:r>
            <w:r>
              <w:t xml:space="preserve">, never re-sent;</w:t>
            </w:r>
            <w:r>
              <w:t xml:space="preserve"> </w:t>
            </w:r>
            <w:r>
              <w:rPr>
                <w:rStyle w:val="VerbatimChar"/>
              </w:rPr>
              <w:t xml:space="preserve">/enroll/complete</w:t>
            </w:r>
            <w:r>
              <w:t xml:space="preserve"> </w:t>
            </w:r>
            <w:r>
              <w:t xml:space="preserve">reads its own copy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2"/>
    <w:bookmarkStart w:id="14" w:name="medium-resolved"/>
    <w:p>
      <w:pPr>
        <w:pStyle w:val="Heading3"/>
      </w:pPr>
      <w:r>
        <w:t xml:space="preserve">Medium (resolved)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No rate limit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— online TOTP brute-force feasible at ~1M attempts/hour</w:t>
            </w:r>
          </w:p>
        </w:tc>
        <w:tc>
          <w:tcPr/>
          <w:p>
            <w:pPr>
              <w:pStyle w:val="Compact"/>
            </w:pPr>
            <w:r>
              <w:t xml:space="preserve">Load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slowapi</w:t>
            </w:r>
            <w:r>
              <w:t xml:space="preserve"> </w:t>
            </w:r>
            <w:r>
              <w:t xml:space="preserve">rate limit at 10 req/min/IP,</w:t>
            </w:r>
            <w:r>
              <w:t xml:space="preserve"> </w:t>
            </w:r>
            <w:r>
              <w:rPr>
                <w:rStyle w:val="VerbatimChar"/>
              </w:rPr>
              <w:t xml:space="preserve">RateLimitExceeded</w:t>
            </w:r>
            <w:r>
              <w:t xml:space="preserve"> </w:t>
            </w: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No upload-size cap — DoS via oversized statement files</w:t>
            </w:r>
          </w:p>
        </w:tc>
        <w:tc>
          <w:tcPr/>
          <w:p>
            <w:pPr>
              <w:pStyle w:val="Compact"/>
            </w:pPr>
            <w:r>
              <w:t xml:space="preserve">Load test</w:t>
            </w:r>
          </w:p>
        </w:tc>
        <w:tc>
          <w:tcPr/>
          <w:p>
            <w:pPr>
              <w:pStyle w:val="Compact"/>
            </w:pPr>
            <w:r>
              <w:t xml:space="preserve">50 MB middleware cap; reverse-proxy guidance in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DEPLOY.md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No security headers (HSTS, CSP, X-Frame-Options, Referrer-Policy, Permissions-Policy, X-Content-Type-Options)</w:t>
            </w:r>
          </w:p>
        </w:tc>
        <w:tc>
          <w:tcPr/>
          <w:p>
            <w:pPr>
              <w:pStyle w:val="Compact"/>
            </w:pPr>
            <w:r>
              <w:t xml:space="preserve">Browser inspector</w:t>
            </w:r>
          </w:p>
        </w:tc>
        <w:tc>
          <w:tcPr/>
          <w:p>
            <w:pPr>
              <w:pStyle w:val="Compact"/>
            </w:pPr>
            <w:r>
              <w:t xml:space="preserve">Middleware injects all six on every response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Certificate-related routes (</w:t>
            </w:r>
            <w:r>
              <w:rPr>
                <w:rStyle w:val="VerbatimChar"/>
              </w:rPr>
              <w:t xml:space="preserve">/accounts/{id}/certificates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/certificates/{id}/{print,download,prepare,review,sign}</w:t>
            </w:r>
            <w:r>
              <w:t xml:space="preserve">) did not enforce per-user access-area scope</w:t>
            </w:r>
          </w:p>
        </w:tc>
        <w:tc>
          <w:tcPr/>
          <w:p>
            <w:pPr>
              <w:pStyle w:val="Compact"/>
            </w:pPr>
            <w:r>
              <w:t xml:space="preserve">Code audit (IDOR)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_assert_account_in_scope</w:t>
            </w:r>
            <w:r>
              <w:t xml:space="preserve"> </w:t>
            </w:r>
            <w:r>
              <w:t xml:space="preserve">helper applied to every certificate route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No session idle timeout — a session could sit dormant for the full 8h absolute lifetime</w:t>
            </w:r>
          </w:p>
        </w:tc>
        <w:tc>
          <w:tcPr/>
          <w:p>
            <w:pPr>
              <w:pStyle w:val="Compact"/>
            </w:pPr>
            <w:r>
              <w:t xml:space="preserve">Code audit</w:t>
            </w:r>
          </w:p>
        </w:tc>
        <w:tc>
          <w:tcPr/>
          <w:p>
            <w:pPr>
              <w:pStyle w:val="Compact"/>
            </w:pPr>
            <w:r>
              <w:t xml:space="preserve">Sliding-window</w:t>
            </w:r>
            <w:r>
              <w:t xml:space="preserve"> </w:t>
            </w:r>
            <w:r>
              <w:rPr>
                <w:rStyle w:val="VerbatimChar"/>
              </w:rPr>
              <w:t xml:space="preserve">last_used_at</w:t>
            </w:r>
            <w:r>
              <w:t xml:space="preserve">, default 30 min idle,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KILTER_SESSION_IDLE_MINUTES</w:t>
            </w:r>
            <w:r>
              <w:t xml:space="preserve">; legacy rows treated as fresh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Auth-source flip (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ldap</w:t>
            </w:r>
            <w:r>
              <w:t xml:space="preserve">) didn’t revoke active sessions</w:t>
            </w:r>
          </w:p>
        </w:tc>
        <w:tc>
          <w:tcPr/>
          <w:p>
            <w:pPr>
              <w:pStyle w:val="Compact"/>
            </w:pPr>
            <w:r>
              <w:t xml:space="preserve">Code audit</w:t>
            </w:r>
          </w:p>
        </w:tc>
        <w:tc>
          <w:tcPr/>
          <w:p>
            <w:pPr>
              <w:pStyle w:val="Compact"/>
            </w:pPr>
            <w:r>
              <w:t xml:space="preserve">Added to the existing role-change revocation path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Self-flip lockout: an admin could move themselves to LDAP before the LDAP server was reachable</w:t>
            </w:r>
          </w:p>
        </w:tc>
        <w:tc>
          <w:tcPr/>
          <w:p>
            <w:pPr>
              <w:pStyle w:val="Compact"/>
            </w:pPr>
            <w:r>
              <w:t xml:space="preserve">Code audit</w:t>
            </w:r>
          </w:p>
        </w:tc>
        <w:tc>
          <w:tcPr/>
          <w:p>
            <w:pPr>
              <w:pStyle w:val="Compact"/>
            </w:pPr>
            <w:r>
              <w:t xml:space="preserve">Pre-condition check refuses the operation until</w:t>
            </w:r>
            <w:r>
              <w:t xml:space="preserve"> </w:t>
            </w:r>
            <w:r>
              <w:rPr>
                <w:rStyle w:val="VerbatimChar"/>
              </w:rPr>
              <w:t xml:space="preserve">KILTER_LDAP_URL</w:t>
            </w:r>
            <w:r>
              <w:t xml:space="preserve"> </w:t>
            </w:r>
            <w:r>
              <w:t xml:space="preserve">is configured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4"/>
    <w:bookmarkStart w:id="15" w:name="low-resolved"/>
    <w:p>
      <w:pPr>
        <w:pStyle w:val="Heading3"/>
      </w:pPr>
      <w:r>
        <w:t xml:space="preserve">Low (resolved)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SQLite errors propagated with their SQL string in 500 responses</w:t>
            </w:r>
          </w:p>
        </w:tc>
        <w:tc>
          <w:tcPr/>
          <w:p>
            <w:pPr>
              <w:pStyle w:val="Compact"/>
            </w:pPr>
            <w:r>
              <w:t xml:space="preserve">Curl repro</w:t>
            </w:r>
          </w:p>
        </w:tc>
        <w:tc>
          <w:tcPr/>
          <w:p>
            <w:pPr>
              <w:pStyle w:val="Compact"/>
            </w:pPr>
            <w:r>
              <w:t xml:space="preserve">Global exception handler returns generic</w:t>
            </w:r>
            <w:r>
              <w:t xml:space="preserve"> </w:t>
            </w:r>
            <w:r>
              <w:rPr>
                <w:rStyle w:val="VerbatimChar"/>
              </w:rPr>
              <w:t xml:space="preserve">{"detail":"Internal server error."}</w:t>
            </w:r>
            <w:r>
              <w:t xml:space="preserve">; full trace logged server-side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Login-failure responses did not distinguish bad-username/bad-password/bad-TOTP/bad-LDAP-bind in audit logs</w:t>
            </w:r>
          </w:p>
        </w:tc>
        <w:tc>
          <w:tcPr/>
          <w:p>
            <w:pPr>
              <w:pStyle w:val="Compact"/>
            </w:pPr>
            <w:r>
              <w:t xml:space="preserve">Audit-log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_audit_login_failure</w:t>
            </w:r>
            <w:r>
              <w:t xml:space="preserve"> </w:t>
            </w:r>
            <w:r>
              <w:t xml:space="preserve">records the reason in</w:t>
            </w:r>
            <w:r>
              <w:t xml:space="preserve"> </w:t>
            </w:r>
            <w:r>
              <w:rPr>
                <w:rStyle w:val="VerbatimChar"/>
              </w:rPr>
              <w:t xml:space="preserve">details.reason</w:t>
            </w:r>
            <w:r>
              <w:t xml:space="preserve">; user response remains generic 401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LDAP filter input was interpolated without escaping</w:t>
            </w:r>
          </w:p>
        </w:tc>
        <w:tc>
          <w:tcPr/>
          <w:p>
            <w:pPr>
              <w:pStyle w:val="Compact"/>
            </w:pPr>
            <w:r>
              <w:t xml:space="preserve">Code audit</w:t>
            </w:r>
          </w:p>
        </w:tc>
        <w:tc>
          <w:tcPr/>
          <w:p>
            <w:pPr>
              <w:pStyle w:val="Compact"/>
            </w:pP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ldap3.utils.conv.escape_filter_chars</w:t>
            </w:r>
            <w:r>
              <w:t xml:space="preserve">; filter-injection unit test in</w:t>
            </w:r>
            <w:r>
              <w:t xml:space="preserve"> </w:t>
            </w:r>
            <w:r>
              <w:rPr>
                <w:rStyle w:val="VerbatimChar"/>
              </w:rPr>
              <w:t xml:space="preserve">tests/test_ldap_auth.py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LDAP bind allowed empty passwords (RFC 4513 anonymous-bind quirk)</w:t>
            </w:r>
          </w:p>
        </w:tc>
        <w:tc>
          <w:tcPr/>
          <w:p>
            <w:pPr>
              <w:pStyle w:val="Compact"/>
            </w:pPr>
            <w:r>
              <w:t xml:space="preserve">Code audit</w:t>
            </w:r>
          </w:p>
        </w:tc>
        <w:tc>
          <w:tcPr/>
          <w:p>
            <w:pPr>
              <w:pStyle w:val="Compact"/>
            </w:pPr>
            <w:r>
              <w:t xml:space="preserve">Empty password rejected before any network I/O; unit-tested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.redoc_url</w:t>
            </w:r>
            <w:r>
              <w:t xml:space="preserve"> </w:t>
            </w:r>
            <w:r>
              <w:t xml:space="preserve">— same as H3, formally also low because internal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covered by H3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Brand mark and visible UI copy still showed</w:t>
            </w:r>
            <w:r>
              <w:t xml:space="preserve"> </w:t>
            </w:r>
            <w:r>
              <w:t xml:space="preserve">“Ecobank Kilter”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“EcoRecon”</w:t>
            </w:r>
            <w:r>
              <w:t xml:space="preserve"> </w:t>
            </w:r>
            <w:r>
              <w:t xml:space="preserve">in places</w:t>
            </w:r>
          </w:p>
        </w:tc>
        <w:tc>
          <w:tcPr/>
          <w:p>
            <w:pPr>
              <w:pStyle w:val="Compact"/>
            </w:pPr>
            <w:r>
              <w:t xml:space="preserve">Browser walk-through</w:t>
            </w:r>
          </w:p>
        </w:tc>
        <w:tc>
          <w:tcPr/>
          <w:p>
            <w:pPr>
              <w:pStyle w:val="Compact"/>
            </w:pPr>
            <w:r>
              <w:t xml:space="preserve">Vendor-neutral rename pass; ISSUER constant changed; templates audited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5"/>
    <w:bookmarkStart w:id="16" w:name="findings-deliberately-accepted"/>
    <w:p>
      <w:pPr>
        <w:pStyle w:val="Heading3"/>
      </w:pPr>
      <w:r>
        <w:t xml:space="preserve">Findings deliberately accepted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Compensating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SQLite as the database backend</w:t>
            </w:r>
          </w:p>
        </w:tc>
        <w:tc>
          <w:tcPr/>
          <w:p>
            <w:pPr>
              <w:pStyle w:val="Compact"/>
            </w:pPr>
            <w:r>
              <w:t xml:space="preserve">Acceptable for single-tenant pilot; encrypted secrets at rest still apply; backup is a single file</w:t>
            </w:r>
          </w:p>
        </w:tc>
        <w:tc>
          <w:tcPr/>
          <w:p>
            <w:pPr>
              <w:pStyle w:val="Compact"/>
            </w:pPr>
            <w:r>
              <w:t xml:space="preserve">Customer-side full-disk encryption; volume-level snapshot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Single uvicorn worker</w:t>
            </w:r>
          </w:p>
        </w:tc>
        <w:tc>
          <w:tcPr/>
          <w:p>
            <w:pPr>
              <w:pStyle w:val="Compact"/>
            </w:pPr>
            <w:r>
              <w:t xml:space="preserve">Single-tenant scale is well below contention threshold</w:t>
            </w:r>
          </w:p>
        </w:tc>
        <w:tc>
          <w:tcPr/>
          <w:p>
            <w:pPr>
              <w:pStyle w:val="Compact"/>
            </w:pPr>
            <w:r>
              <w:t xml:space="preserve">Container restart on healthcheck failure; monitoring guidance in DEPLOY.md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No password storage 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 for</w:t>
            </w:r>
            <w:r>
              <w:t xml:space="preserve"> </w:t>
            </w:r>
            <w:r>
              <w:rPr>
                <w:rStyle w:val="VerbatimChar"/>
              </w:rPr>
              <w:t xml:space="preserve">auth_source='local'</w:t>
            </w:r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Bootstrap admin path; TOTP-only is cryptographically equivalent to a one-factor password layer for a single trusted user</w:t>
            </w:r>
          </w:p>
        </w:tc>
        <w:tc>
          <w:tcPr/>
          <w:p>
            <w:pPr>
              <w:pStyle w:val="Compact"/>
            </w:pPr>
            <w:r>
              <w:t xml:space="preserve">Self-flip lockout guard; recommendation to migrate the bootstrap admin to LDAP after first non-admin LDAP user is verified</w:t>
            </w:r>
          </w:p>
        </w:tc>
      </w:tr>
    </w:tbl>
    <w:bookmarkEnd w:id="16"/>
    <w:bookmarkEnd w:id="17"/>
    <w:bookmarkStart w:id="18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Tests covering the security-pass changes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64 passed</w:t>
      </w:r>
    </w:p>
    <w:p>
      <w:pPr>
        <w:pStyle w:val="FirstParagraph"/>
      </w:pPr>
      <w:r>
        <w:t xml:space="preserve">Reproduction notes for each remediated finding live in the commit</w:t>
      </w:r>
      <w:r>
        <w:t xml:space="preserve"> </w:t>
      </w:r>
      <w:r>
        <w:t xml:space="preserve">messages (see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once the repo is initialised).</w:t>
      </w:r>
    </w:p>
    <w:bookmarkEnd w:id="18"/>
    <w:bookmarkStart w:id="19" w:name="next-external-test"/>
    <w:p>
      <w:pPr>
        <w:pStyle w:val="Heading2"/>
      </w:pPr>
      <w:r>
        <w:t xml:space="preserve">Next external test</w:t>
      </w:r>
    </w:p>
    <w:p>
      <w:pPr>
        <w:pStyle w:val="FirstParagraph"/>
      </w:pPr>
      <w:r>
        <w:t xml:space="preserve">Targeting Q4 2026, scope to include:</w:t>
      </w:r>
    </w:p>
    <w:p>
      <w:pPr>
        <w:pStyle w:val="Compact"/>
        <w:numPr>
          <w:ilvl w:val="0"/>
          <w:numId w:val="1001"/>
        </w:numPr>
      </w:pPr>
      <w:r>
        <w:t xml:space="preserve">Network and infrastructure surface of the deployed pilot.</w:t>
      </w:r>
    </w:p>
    <w:p>
      <w:pPr>
        <w:pStyle w:val="Compact"/>
        <w:numPr>
          <w:ilvl w:val="0"/>
          <w:numId w:val="1001"/>
        </w:numPr>
      </w:pPr>
      <w:r>
        <w:t xml:space="preserve">Adversary-simulation against a hardened build representative of</w:t>
      </w:r>
      <w:r>
        <w:t xml:space="preserve"> </w:t>
      </w:r>
      <w:r>
        <w:t xml:space="preserve">a paying-customer deployment.</w:t>
      </w:r>
    </w:p>
    <w:p>
      <w:pPr>
        <w:pStyle w:val="Compact"/>
        <w:numPr>
          <w:ilvl w:val="0"/>
          <w:numId w:val="1001"/>
        </w:numPr>
      </w:pPr>
      <w:r>
        <w:t xml:space="preserve">Issuance of a third-party attestation letter for sharing with</w:t>
      </w:r>
      <w:r>
        <w:t xml:space="preserve"> </w:t>
      </w:r>
      <w:r>
        <w:t xml:space="preserve">prospects.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docs/DEPLO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docs/DEPLO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2026-04-26T08:06:04Z</dcterms:created>
  <dcterms:modified xsi:type="dcterms:W3CDTF">2026-04-26T08:06:04Z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