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kilter-ciso-pack"/>
    <w:p>
      <w:pPr>
        <w:pStyle w:val="Heading1"/>
      </w:pPr>
      <w:r>
        <w:t xml:space="preserve">Kilter — CISO Pack</w:t>
      </w:r>
    </w:p>
    <w:p>
      <w:pPr>
        <w:pStyle w:val="FirstParagraph"/>
      </w:pPr>
      <w:r>
        <w:t xml:space="preserve">This folder is the standing security packet to hand to a prospective</w:t>
      </w:r>
      <w:r>
        <w:t xml:space="preserve"> </w:t>
      </w:r>
      <w:r>
        <w:t xml:space="preserve">pilot bank’s information-security team. It exists so we can short-cut</w:t>
      </w:r>
      <w:r>
        <w:t xml:space="preserve"> </w:t>
      </w:r>
      <w:r>
        <w:t xml:space="preserve">the typical 4–8 week vendor-review cycle: most banks ask the same</w:t>
      </w:r>
      <w:r>
        <w:t xml:space="preserve"> </w:t>
      </w:r>
      <w:r>
        <w:t xml:space="preserve">30-ish questions, and most of those answers don’t change between</w:t>
      </w:r>
      <w:r>
        <w:t xml:space="preserve"> </w:t>
      </w:r>
      <w:r>
        <w:t xml:space="preserve">prospects. Hand this over with the pilot agreement, save everyone two</w:t>
      </w:r>
      <w:r>
        <w:t xml:space="preserve"> </w:t>
      </w:r>
      <w:r>
        <w:t xml:space="preserve">months.</w:t>
      </w:r>
    </w:p>
    <w:bookmarkStart w:id="13" w:name="contents"/>
    <w:p>
      <w:pPr>
        <w:pStyle w:val="Heading2"/>
      </w:pPr>
      <w:r>
        <w:t xml:space="preserve">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PENTEST_SUMMARY.md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 scope, methodology, findings, remediation status, retest date</w:t>
            </w:r>
          </w:p>
        </w:tc>
        <w:tc>
          <w:tcPr/>
          <w:p>
            <w:pPr>
              <w:pStyle w:val="Compact"/>
            </w:pPr>
            <w:r>
              <w:t xml:space="preserve">CISO / IS team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Network topology, components, data flow, deployment options</w:t>
            </w:r>
          </w:p>
        </w:tc>
        <w:tc>
          <w:tcPr/>
          <w:p>
            <w:pPr>
              <w:pStyle w:val="Compact"/>
            </w:pPr>
            <w:r>
              <w:t xml:space="preserve">Architects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THREAT_MODEL.md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STRIDE threats, mitigations, residual risk, assumptions</w:t>
            </w:r>
          </w:p>
        </w:tc>
        <w:tc>
          <w:tcPr/>
          <w:p>
            <w:pPr>
              <w:pStyle w:val="Compact"/>
            </w:pPr>
            <w:r>
              <w:t xml:space="preserve">Architects / IS team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SECURITY_FAQ.md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Pre-filled answers to the most common ~35 questions on SIG-Lite / CAIQ-Lite / SIG Core</w:t>
            </w:r>
          </w:p>
        </w:tc>
        <w:tc>
          <w:tcPr/>
          <w:p>
            <w:pPr>
              <w:pStyle w:val="Compact"/>
            </w:pPr>
            <w:r>
              <w:t xml:space="preserve">Risk / vendor management</w:t>
            </w:r>
          </w:p>
        </w:tc>
      </w:tr>
    </w:tbl>
    <w:bookmarkEnd w:id="13"/>
    <w:bookmarkStart w:id="16" w:name="how-to-use-it"/>
    <w:p>
      <w:pPr>
        <w:pStyle w:val="Heading2"/>
      </w:pPr>
      <w:r>
        <w:t xml:space="preserve">How to use it</w:t>
      </w:r>
    </w:p>
    <w:p>
      <w:pPr>
        <w:pStyle w:val="Compact"/>
        <w:numPr>
          <w:ilvl w:val="0"/>
          <w:numId w:val="1001"/>
        </w:numPr>
      </w:pPr>
      <w:r>
        <w:t xml:space="preserve">After a prospect signs the</w:t>
      </w:r>
      <w:r>
        <w:t xml:space="preserve"> </w:t>
      </w:r>
      <w:hyperlink r:id="rId14">
        <w:r>
          <w:rPr>
            <w:rStyle w:val="Hyperlink"/>
          </w:rPr>
          <w:t xml:space="preserve">Pilot Agreement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">
        <w:r>
          <w:rPr>
            <w:rStyle w:val="Hyperlink"/>
          </w:rPr>
          <w:t xml:space="preserve">DPA</w:t>
        </w:r>
      </w:hyperlink>
      <w:r>
        <w:t xml:space="preserve">, email them this folder</w:t>
      </w:r>
      <w:r>
        <w:t xml:space="preserve"> </w:t>
      </w:r>
      <w:r>
        <w:t xml:space="preserve">(zip it; do not send raw markdown to a CISO — convert via pandoc as</w:t>
      </w:r>
      <w:r>
        <w:t xml:space="preserve"> </w:t>
      </w:r>
      <w:r>
        <w:t xml:space="preserve">we do for the legal pack).</w:t>
      </w:r>
    </w:p>
    <w:p>
      <w:pPr>
        <w:pStyle w:val="Compact"/>
        <w:numPr>
          <w:ilvl w:val="0"/>
          <w:numId w:val="1001"/>
        </w:numPr>
      </w:pPr>
      <w:r>
        <w:t xml:space="preserve">Their IS team reviews and sends back a delta — typically a handful</w:t>
      </w:r>
      <w:r>
        <w:t xml:space="preserve"> </w:t>
      </w:r>
      <w:r>
        <w:t xml:space="preserve">of bank-specific follow-up questions. Answer those in writing,</w:t>
      </w:r>
      <w:r>
        <w:t xml:space="preserve"> </w:t>
      </w:r>
      <w:r>
        <w:t xml:space="preserve">merge into a</w:t>
      </w:r>
      <w:r>
        <w:t xml:space="preserve"> </w:t>
      </w:r>
      <w:r>
        <w:t xml:space="preserve">“Customer Q&amp;A”</w:t>
      </w:r>
      <w:r>
        <w:t xml:space="preserve"> </w:t>
      </w:r>
      <w:r>
        <w:t xml:space="preserve">appendix when stable patterns emerge.</w:t>
      </w:r>
    </w:p>
    <w:p>
      <w:pPr>
        <w:pStyle w:val="Compact"/>
        <w:numPr>
          <w:ilvl w:val="0"/>
          <w:numId w:val="1001"/>
        </w:numPr>
      </w:pPr>
      <w:r>
        <w:t xml:space="preserve">If they require their own bespoke questionnaire (some banks do),</w:t>
      </w:r>
      <w:r>
        <w:t xml:space="preserve"> </w:t>
      </w:r>
      <w:r>
        <w:t xml:space="preserve">use</w:t>
      </w:r>
      <w:r>
        <w:t xml:space="preserve"> </w:t>
      </w:r>
      <w:hyperlink r:id="rId12">
        <w:r>
          <w:rPr>
            <w:rStyle w:val="Hyperlink"/>
          </w:rPr>
          <w:t xml:space="preserve">SECURITY_FAQ.md</w:t>
        </w:r>
      </w:hyperlink>
      <w:r>
        <w:t xml:space="preserve"> </w:t>
      </w:r>
      <w:r>
        <w:t xml:space="preserve">as the source of truth and</w:t>
      </w:r>
      <w:r>
        <w:t xml:space="preserve"> </w:t>
      </w:r>
      <w:r>
        <w:t xml:space="preserve">port answers across.</w:t>
      </w:r>
    </w:p>
    <w:bookmarkEnd w:id="16"/>
    <w:bookmarkStart w:id="17" w:name="whats-not-here-yet"/>
    <w:p>
      <w:pPr>
        <w:pStyle w:val="Heading2"/>
      </w:pPr>
      <w:r>
        <w:t xml:space="preserve">What’s not here (yet)</w:t>
      </w:r>
    </w:p>
    <w:p>
      <w:pPr>
        <w:pStyle w:val="FirstParagraph"/>
      </w:pPr>
      <w:r>
        <w:t xml:space="preserve">These are deferred until either a pilot bank specifically asks or we</w:t>
      </w:r>
      <w:r>
        <w:t xml:space="preserve"> </w:t>
      </w:r>
      <w:r>
        <w:t xml:space="preserve">have budget for them: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External pentest report.</w:t>
      </w:r>
      <w:r>
        <w:t xml:space="preserve"> </w:t>
      </w:r>
      <w:r>
        <w:t xml:space="preserve">Internal-pentest summary only at this</w:t>
      </w:r>
      <w:r>
        <w:t xml:space="preserve"> </w:t>
      </w:r>
      <w:r>
        <w:t xml:space="preserve">stage; flagged in</w:t>
      </w:r>
      <w:r>
        <w:t xml:space="preserve"> </w:t>
      </w:r>
      <w:hyperlink r:id="rId9">
        <w:r>
          <w:rPr>
            <w:rStyle w:val="Hyperlink"/>
          </w:rPr>
          <w:t xml:space="preserve">PENTEST_SUMMARY.md</w:t>
        </w:r>
      </w:hyperlink>
      <w:r>
        <w:t xml:space="preserve"> </w:t>
      </w:r>
      <w:r>
        <w:t xml:space="preserve">so we don’t</w:t>
      </w:r>
      <w:r>
        <w:t xml:space="preserve"> </w:t>
      </w:r>
      <w:r>
        <w:t xml:space="preserve">misrepresent. A formal third-party engagement (Bishop Fox /</w:t>
      </w:r>
      <w:r>
        <w:t xml:space="preserve"> </w:t>
      </w:r>
      <w:r>
        <w:t xml:space="preserve">Trail of Bits / NCC Group / a regional Big-4 cyber arm) costs</w:t>
      </w:r>
      <w:r>
        <w:t xml:space="preserve"> </w:t>
      </w:r>
      <w:r>
        <w:t xml:space="preserve">USD 15k–30k for a focused 1-week engagement and should happen before</w:t>
      </w:r>
      <w:r>
        <w:t xml:space="preserve"> </w:t>
      </w:r>
      <w:r>
        <w:t xml:space="preserve">the second paid customer.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 2 Type II report.</w:t>
      </w:r>
      <w:r>
        <w:t xml:space="preserve"> </w:t>
      </w:r>
      <w:r>
        <w:t xml:space="preserve">Earliest realistic point is 12 months</w:t>
      </w:r>
      <w:r>
        <w:t xml:space="preserve"> </w:t>
      </w:r>
      <w:r>
        <w:t xml:space="preserve">after the first pilot ships. SOC 2 Type I (point-in-time) can be</w:t>
      </w:r>
      <w:r>
        <w:t xml:space="preserve"> </w:t>
      </w:r>
      <w:r>
        <w:t xml:space="preserve">done in ~3 months for ~USD 15k if a bank requires it as a</w:t>
      </w:r>
      <w:r>
        <w:t xml:space="preserve"> </w:t>
      </w:r>
      <w:r>
        <w:t xml:space="preserve">condition.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 27001 certificate.</w:t>
      </w:r>
      <w:r>
        <w:t xml:space="preserve"> </w:t>
      </w:r>
      <w:r>
        <w:t xml:space="preserve">Heavy lift; defer until we have ≥3 paying</w:t>
      </w:r>
      <w:r>
        <w:t xml:space="preserve"> </w:t>
      </w:r>
      <w:r>
        <w:t xml:space="preserve">customers and a full-time security lead.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Penetration-test attestation letter.</w:t>
      </w:r>
      <w:r>
        <w:t xml:space="preserve"> </w:t>
      </w:r>
      <w:r>
        <w:t xml:space="preserve">Once an external pentest</w:t>
      </w:r>
      <w:r>
        <w:t xml:space="preserve"> </w:t>
      </w:r>
      <w:r>
        <w:t xml:space="preserve">closes out, the firm typically issues a one-page attestation suitable</w:t>
      </w:r>
      <w:r>
        <w:t xml:space="preserve"> </w:t>
      </w:r>
      <w:r>
        <w:t xml:space="preserve">for sharing with customers without the full report.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legal/03_pilot_agreement.md" TargetMode="External" /><Relationship Type="http://schemas.openxmlformats.org/officeDocument/2006/relationships/hyperlink" Id="rId15" Target="../legal/04_dpa.md" TargetMode="External" /><Relationship Type="http://schemas.openxmlformats.org/officeDocument/2006/relationships/hyperlink" Id="rId10" Target="ARCHITECTURE.md" TargetMode="External" /><Relationship Type="http://schemas.openxmlformats.org/officeDocument/2006/relationships/hyperlink" Id="rId9" Target="PENTEST_SUMMARY.md" TargetMode="External" /><Relationship Type="http://schemas.openxmlformats.org/officeDocument/2006/relationships/hyperlink" Id="rId12" Target="SECURITY_FAQ.md" TargetMode="External" /><Relationship Type="http://schemas.openxmlformats.org/officeDocument/2006/relationships/hyperlink" Id="rId11" Target="THREAT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legal/03_pilot_agreement.md" TargetMode="External" /><Relationship Type="http://schemas.openxmlformats.org/officeDocument/2006/relationships/hyperlink" Id="rId15" Target="../legal/04_dpa.md" TargetMode="External" /><Relationship Type="http://schemas.openxmlformats.org/officeDocument/2006/relationships/hyperlink" Id="rId10" Target="ARCHITECTURE.md" TargetMode="External" /><Relationship Type="http://schemas.openxmlformats.org/officeDocument/2006/relationships/hyperlink" Id="rId9" Target="PENTEST_SUMMARY.md" TargetMode="External" /><Relationship Type="http://schemas.openxmlformats.org/officeDocument/2006/relationships/hyperlink" Id="rId12" Target="SECURITY_FAQ.md" TargetMode="External" /><Relationship Type="http://schemas.openxmlformats.org/officeDocument/2006/relationships/hyperlink" Id="rId11" Target="THREAT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2026-04-26T08:06:04Z</dcterms:created>
  <dcterms:modified xsi:type="dcterms:W3CDTF">2026-04-26T08:06:04Z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