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ecurity-faq-kilter"/>
    <w:p>
      <w:pPr>
        <w:pStyle w:val="Heading1"/>
      </w:pPr>
      <w:r>
        <w:t xml:space="preserve">Security FAQ — Kilter</w:t>
      </w:r>
    </w:p>
    <w:p>
      <w:pPr>
        <w:pStyle w:val="FirstParagraph"/>
      </w:pPr>
      <w:r>
        <w:t xml:space="preserve">Pre-filled answers to the most common security-questionnaire items</w:t>
      </w:r>
      <w:r>
        <w:t xml:space="preserve"> </w:t>
      </w:r>
      <w:r>
        <w:t xml:space="preserve">(SIG-Lite, CAIQ-Lite, bank-internal vendor templates). Use this as the</w:t>
      </w:r>
      <w:r>
        <w:t xml:space="preserve"> </w:t>
      </w:r>
      <w:r>
        <w:t xml:space="preserve">source of truth — when the bank hands you their bespoke questionnaire,</w:t>
      </w:r>
      <w:r>
        <w:t xml:space="preserve"> </w:t>
      </w:r>
      <w:r>
        <w:t xml:space="preserve">answer from here and update both this file and theirs if anything is</w:t>
      </w:r>
      <w:r>
        <w:t xml:space="preserve"> </w:t>
      </w:r>
      <w:r>
        <w:t xml:space="preserve">out of date.</w:t>
      </w:r>
    </w:p>
    <w:p>
      <w:pPr>
        <w:pStyle w:val="BlockText"/>
      </w:pPr>
      <w:r>
        <w:rPr>
          <w:b/>
          <w:bCs/>
        </w:rPr>
        <w:t xml:space="preserve">Status flags used below</w:t>
      </w:r>
    </w:p>
    <w:p>
      <w:pPr>
        <w:pStyle w:val="BlockText"/>
      </w:pPr>
      <w:r>
        <w:t xml:space="preserve">✅ = implemented today</w:t>
      </w:r>
      <w:r>
        <w:t xml:space="preserve"> </w:t>
      </w:r>
      <w:r>
        <w:t xml:space="preserve">⚠️ = partial / mitigated, with a roadmap step</w:t>
      </w:r>
      <w:r>
        <w:t xml:space="preserve"> </w:t>
      </w:r>
      <w:r>
        <w:t xml:space="preserve">❌ = not implemented; honest no</w:t>
      </w:r>
      <w:r>
        <w:t xml:space="preserve"> </w:t>
      </w:r>
      <w:r>
        <w:t xml:space="preserve">🟡 = customer-side responsibility</w:t>
      </w:r>
    </w:p>
    <w:p>
      <w:r>
        <w:pict>
          <v:rect style="width:0;height:1.5pt" o:hralign="center" o:hrstd="t" o:hr="t"/>
        </w:pict>
      </w:r>
    </w:p>
    <w:bookmarkStart w:id="10" w:name="a.-company-and-product"/>
    <w:p>
      <w:pPr>
        <w:pStyle w:val="Heading2"/>
      </w:pPr>
      <w:r>
        <w:t xml:space="preserve">A. Company and product</w:t>
      </w:r>
    </w:p>
    <w:p>
      <w:pPr>
        <w:pStyle w:val="FirstParagraph"/>
      </w:pPr>
      <w:r>
        <w:rPr>
          <w:b/>
          <w:bCs/>
        </w:rPr>
        <w:t xml:space="preserve">A.1 — Legal entity?</w:t>
      </w:r>
      <w:r>
        <w:t xml:space="preserve"> </w:t>
      </w:r>
      <w:r>
        <w:t xml:space="preserve">Kilter Limited (Ghana). Incorporation in progress; pilot contracts can</w:t>
      </w:r>
      <w:r>
        <w:t xml:space="preserve"> </w:t>
      </w:r>
      <w:r>
        <w:t xml:space="preserve">proceed in parallel via the founder.</w:t>
      </w:r>
    </w:p>
    <w:p>
      <w:pPr>
        <w:pStyle w:val="BodyText"/>
      </w:pPr>
      <w:r>
        <w:rPr>
          <w:b/>
          <w:bCs/>
        </w:rPr>
        <w:t xml:space="preserve">A.2 — Product description in one paragraph?</w:t>
      </w:r>
      <w:r>
        <w:t xml:space="preserve"> </w:t>
      </w:r>
      <w:r>
        <w:t xml:space="preserve">Kilter is a self-hosted reconciliation platform that ingests SWIFT</w:t>
      </w:r>
      <w:r>
        <w:t xml:space="preserve"> </w:t>
      </w:r>
      <w:r>
        <w:t xml:space="preserve">MT940/MT950 and ISO 20022 camt.053/054 statements alongside the bank’s</w:t>
      </w:r>
      <w:r>
        <w:t xml:space="preserve"> </w:t>
      </w:r>
      <w:r>
        <w:t xml:space="preserve">internal ledger extract, parses both, runs a 4-tier matching engine,</w:t>
      </w:r>
      <w:r>
        <w:t xml:space="preserve"> </w:t>
      </w:r>
      <w:r>
        <w:t xml:space="preserve">queues ambiguous candidates for human review, enforces a maker /</w:t>
      </w:r>
      <w:r>
        <w:t xml:space="preserve"> </w:t>
      </w:r>
      <w:r>
        <w:t xml:space="preserve">checker / approver workflow on month-end certificates, and stores</w:t>
      </w:r>
      <w:r>
        <w:t xml:space="preserve"> </w:t>
      </w:r>
      <w:r>
        <w:t xml:space="preserve">everything in an append-only audit trail. The Software is licensed for</w:t>
      </w:r>
      <w:r>
        <w:t xml:space="preserve"> </w:t>
      </w:r>
      <w:r>
        <w:t xml:space="preserve">on-premises or private-cloud deployment.</w:t>
      </w:r>
    </w:p>
    <w:p>
      <w:pPr>
        <w:pStyle w:val="BodyText"/>
      </w:pPr>
      <w:r>
        <w:rPr>
          <w:b/>
          <w:bCs/>
        </w:rPr>
        <w:t xml:space="preserve">A.3 — Reference customers?</w:t>
      </w:r>
      <w:r>
        <w:t xml:space="preserve"> </w:t>
      </w:r>
      <w:r>
        <w:t xml:space="preserve">Pilot phase. Earlier production deployment was internal at the</w:t>
      </w:r>
      <w:r>
        <w:t xml:space="preserve"> </w:t>
      </w:r>
      <w:r>
        <w:t xml:space="preserve">founder’s prior employer; no permission to name them. Reference rights</w:t>
      </w:r>
      <w:r>
        <w:t xml:space="preserve"> </w:t>
      </w:r>
      <w:r>
        <w:t xml:space="preserve">are part of the design-partner discount in the pilot agreement.</w:t>
      </w:r>
    </w:p>
    <w:p>
      <w:pPr>
        <w:pStyle w:val="BodyText"/>
      </w:pPr>
      <w:r>
        <w:rPr>
          <w:b/>
          <w:bCs/>
        </w:rPr>
        <w:t xml:space="preserve">A.4 — Open-source dependencies?</w:t>
      </w:r>
      <w:r>
        <w:t xml:space="preserve"> </w:t>
      </w:r>
      <w:r>
        <w:t xml:space="preserve">Pinned versions, all permissively licensed (MIT, BSD, Apache 2):</w:t>
      </w:r>
      <w:r>
        <w:t xml:space="preserve"> </w:t>
      </w:r>
      <w:r>
        <w:t xml:space="preserve">FastAPI, uvicorn, SQLAlchemy core / SQLite stdlib, Jinja2, pyotp,</w:t>
      </w:r>
      <w:r>
        <w:t xml:space="preserve"> </w:t>
      </w:r>
      <w:r>
        <w:t xml:space="preserve">cryptography, ldap3, slowapi, qrcode, openpyxl, python-multipart.</w:t>
      </w:r>
      <w:r>
        <w:t xml:space="preserve"> </w:t>
      </w:r>
      <w:r>
        <w:t xml:space="preserve">Full list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 No copyleft (GPL/AGPL) dependencies</w:t>
      </w:r>
      <w:r>
        <w:t xml:space="preserve"> </w:t>
      </w:r>
      <w:r>
        <w:t xml:space="preserve">in the runtime path.</w:t>
      </w:r>
    </w:p>
    <w:p>
      <w:pPr>
        <w:pStyle w:val="BodyText"/>
      </w:pPr>
      <w:r>
        <w:rPr>
          <w:b/>
          <w:bCs/>
        </w:rPr>
        <w:t xml:space="preserve">A.5 — Sub-processors?</w:t>
      </w:r>
      <w:r>
        <w:t xml:space="preserve"> </w:t>
      </w:r>
      <w:r>
        <w:t xml:space="preserve">For on-premises deployments: none. The app runs entirely within the</w:t>
      </w:r>
      <w:r>
        <w:t xml:space="preserve"> </w:t>
      </w:r>
      <w:r>
        <w:t xml:space="preserve">customer’s network. For optional features that may use external</w:t>
      </w:r>
      <w:r>
        <w:t xml:space="preserve"> </w:t>
      </w:r>
      <w:r>
        <w:t xml:space="preserve">sub-processors (SMTP relay, hosted demo URL), see</w:t>
      </w:r>
      <w:r>
        <w:t xml:space="preserve"> </w:t>
      </w:r>
      <w:hyperlink r:id="rId9">
        <w:r>
          <w:rPr>
            <w:rStyle w:val="Hyperlink"/>
          </w:rPr>
          <w:t xml:space="preserve">DPA Annex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</w:t>
        </w:r>
      </w:hyperlink>
      <w:r>
        <w:t xml:space="preserve">.</w:t>
      </w:r>
    </w:p>
    <w:bookmarkEnd w:id="10"/>
    <w:bookmarkStart w:id="11" w:name="b.-architecture-and-data-flow"/>
    <w:p>
      <w:pPr>
        <w:pStyle w:val="Heading2"/>
      </w:pPr>
      <w:r>
        <w:t xml:space="preserve">B. Architecture and data flow</w:t>
      </w:r>
    </w:p>
    <w:p>
      <w:pPr>
        <w:pStyle w:val="FirstParagraph"/>
      </w:pPr>
      <w:r>
        <w:rPr>
          <w:b/>
          <w:bCs/>
        </w:rPr>
        <w:t xml:space="preserve">B.1 — Where is customer data stored?</w:t>
      </w:r>
      <w:r>
        <w:t xml:space="preserve"> </w:t>
      </w:r>
      <w:r>
        <w:t xml:space="preserve">On the customer’s filesystem only. The default deployment writes the</w:t>
      </w:r>
      <w:r>
        <w:t xml:space="preserve"> </w:t>
      </w:r>
      <w:r>
        <w:t xml:space="preserve">SQLite database to a volume mounted into the container. ✅</w:t>
      </w:r>
    </w:p>
    <w:p>
      <w:pPr>
        <w:pStyle w:val="BodyText"/>
      </w:pPr>
      <w:r>
        <w:rPr>
          <w:b/>
          <w:bCs/>
        </w:rPr>
        <w:t xml:space="preserve">B.2 — Does Kilter phone home or send telemetry?</w:t>
      </w:r>
      <w:r>
        <w:t xml:space="preserve"> </w:t>
      </w:r>
      <w:r>
        <w:t xml:space="preserve">No. The container makes no outbound connections except those the</w:t>
      </w:r>
      <w:r>
        <w:t xml:space="preserve"> </w:t>
      </w:r>
      <w:r>
        <w:t xml:space="preserve">customer explicitly configures (LDAP to the bank’s AD, SMTP to the</w:t>
      </w:r>
      <w:r>
        <w:t xml:space="preserve"> </w:t>
      </w:r>
      <w:r>
        <w:t xml:space="preserve">bank’s relay, optional Flexcube Oracle pull). ✅</w:t>
      </w:r>
    </w:p>
    <w:p>
      <w:pPr>
        <w:pStyle w:val="BodyText"/>
      </w:pPr>
      <w:r>
        <w:rPr>
          <w:b/>
          <w:bCs/>
        </w:rPr>
        <w:t xml:space="preserve">B.3 — Does Kilter store special-category personal data?</w:t>
      </w:r>
      <w:r>
        <w:t xml:space="preserve"> </w:t>
      </w:r>
      <w:r>
        <w:t xml:space="preserve">No. The data model covers transaction metadata, account references,</w:t>
      </w:r>
      <w:r>
        <w:t xml:space="preserve"> </w:t>
      </w:r>
      <w:r>
        <w:t xml:space="preserve">counterparty names, and Authorised User identifiers. We refuse to</w:t>
      </w:r>
      <w:r>
        <w:t xml:space="preserve"> </w:t>
      </w:r>
      <w:r>
        <w:t xml:space="preserve">accept payment-card numbers, government identifiers, biometrics, or</w:t>
      </w:r>
      <w:r>
        <w:t xml:space="preserve"> </w:t>
      </w:r>
      <w:r>
        <w:t xml:space="preserve">health data. The DPA Section 4.3 makes this explicit.</w:t>
      </w:r>
    </w:p>
    <w:p>
      <w:pPr>
        <w:pStyle w:val="BodyText"/>
      </w:pPr>
      <w:r>
        <w:rPr>
          <w:b/>
          <w:bCs/>
        </w:rPr>
        <w:t xml:space="preserve">B.4 — Multi-tenancy?</w:t>
      </w:r>
      <w:r>
        <w:t xml:space="preserve"> </w:t>
      </w:r>
      <w:r>
        <w:t xml:space="preserve">Single-tenant per deployment. There is no shared database between</w:t>
      </w:r>
      <w:r>
        <w:t xml:space="preserve"> </w:t>
      </w:r>
      <w:r>
        <w:t xml:space="preserve">customers. ✅</w:t>
      </w:r>
    </w:p>
    <w:bookmarkEnd w:id="11"/>
    <w:bookmarkStart w:id="13" w:name="c.-authentication-and-access-control"/>
    <w:p>
      <w:pPr>
        <w:pStyle w:val="Heading2"/>
      </w:pPr>
      <w:r>
        <w:t xml:space="preserve">C. Authentication and access control</w:t>
      </w:r>
    </w:p>
    <w:p>
      <w:pPr>
        <w:pStyle w:val="FirstParagraph"/>
      </w:pPr>
      <w:r>
        <w:rPr>
          <w:b/>
          <w:bCs/>
        </w:rPr>
        <w:t xml:space="preserve">C.1 — MFA?</w:t>
      </w:r>
      <w:r>
        <w:t xml:space="preserve"> </w:t>
      </w:r>
      <w:r>
        <w:t xml:space="preserve">TOTP (RFC 6238) via Microsoft Authenticator, mandatory for every</w:t>
      </w:r>
      <w:r>
        <w:t xml:space="preserve"> </w:t>
      </w:r>
      <w:r>
        <w:t xml:space="preserve">user, every login. ±30s drift window. ✅</w:t>
      </w:r>
    </w:p>
    <w:p>
      <w:pPr>
        <w:pStyle w:val="BodyText"/>
      </w:pPr>
      <w:r>
        <w:rPr>
          <w:b/>
          <w:bCs/>
        </w:rPr>
        <w:t xml:space="preserve">C.2 — Password layer?</w:t>
      </w:r>
      <w:r>
        <w:t xml:space="preserve"> </w:t>
      </w:r>
      <w:r>
        <w:t xml:space="preserve">Two modes per user (</w:t>
      </w:r>
      <w:r>
        <w:rPr>
          <w:rStyle w:val="VerbatimChar"/>
        </w:rPr>
        <w:t xml:space="preserve">auth_source</w:t>
      </w:r>
      <w:r>
        <w:t xml:space="preserve"> </w:t>
      </w:r>
      <w:r>
        <w:t xml:space="preserve">field):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— TOTP-only, used for the bootstrap admin and emergency</w:t>
      </w:r>
      <w:r>
        <w:t xml:space="preserve"> </w:t>
      </w:r>
      <w:r>
        <w:t xml:space="preserve">accounts.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ldap</w:t>
      </w:r>
      <w:r>
        <w:t xml:space="preserve"> </w:t>
      </w:r>
      <w:r>
        <w:t xml:space="preserve">— Active Directory password verified via LDAPS bind, then</w:t>
      </w:r>
      <w:r>
        <w:t xml:space="preserve"> </w:t>
      </w:r>
      <w:r>
        <w:t xml:space="preserve">TOTP. ✅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path’s defensive position is documented in</w:t>
      </w:r>
      <w:r>
        <w:t xml:space="preserve"> </w:t>
      </w:r>
      <w:hyperlink r:id="rId12">
        <w:r>
          <w:rPr>
            <w:rStyle w:val="Hyperlink"/>
          </w:rPr>
          <w:t xml:space="preserve">ARCHITECTURE.md</w:t>
        </w:r>
      </w:hyperlink>
      <w:r>
        <w:t xml:space="preserve"> </w:t>
      </w:r>
      <w:r>
        <w:t xml:space="preserve">§5.</w:t>
      </w:r>
    </w:p>
    <w:p>
      <w:pPr>
        <w:pStyle w:val="BodyText"/>
      </w:pPr>
      <w:r>
        <w:rPr>
          <w:b/>
          <w:bCs/>
        </w:rPr>
        <w:t xml:space="preserve">C.3 — SSO?</w:t>
      </w:r>
      <w:r>
        <w:t xml:space="preserve"> </w:t>
      </w:r>
      <w:r>
        <w:t xml:space="preserve">LDAP / Active Directory today. SAML 2.0 / OIDC: ❌ not yet — we’ll</w:t>
      </w:r>
      <w:r>
        <w:t xml:space="preserve"> </w:t>
      </w:r>
      <w:r>
        <w:t xml:space="preserve">add whichever the first paying customer specifies.</w:t>
      </w:r>
    </w:p>
    <w:p>
      <w:pPr>
        <w:pStyle w:val="BodyText"/>
      </w:pPr>
      <w:r>
        <w:rPr>
          <w:b/>
          <w:bCs/>
        </w:rPr>
        <w:t xml:space="preserve">C.4 — Session management?</w:t>
      </w:r>
      <w:r>
        <w:t xml:space="preserve"> </w:t>
      </w:r>
      <w:r>
        <w:t xml:space="preserve">Server-side opaque tokens (256-bit), absolute expiry 8 h, idle expiry</w:t>
      </w:r>
      <w:r>
        <w:t xml:space="preserve"> </w:t>
      </w:r>
      <w:r>
        <w:t xml:space="preserve">30 min (configurable via</w:t>
      </w:r>
      <w:r>
        <w:t xml:space="preserve"> </w:t>
      </w:r>
      <w:r>
        <w:rPr>
          <w:rStyle w:val="VerbatimChar"/>
        </w:rPr>
        <w:t xml:space="preserve">KILTER_SESSION_IDLE_MINUTES</w:t>
      </w:r>
      <w:r>
        <w:t xml:space="preserve">). Tokens</w:t>
      </w:r>
      <w:r>
        <w:t xml:space="preserve"> </w:t>
      </w:r>
      <w:r>
        <w:t xml:space="preserve">revoked on logout, on role change, on auth-source flip, and on user</w:t>
      </w:r>
      <w:r>
        <w:t xml:space="preserve"> </w:t>
      </w:r>
      <w:r>
        <w:t xml:space="preserve">deactivation. ✅</w:t>
      </w:r>
    </w:p>
    <w:p>
      <w:pPr>
        <w:pStyle w:val="BodyText"/>
      </w:pPr>
      <w:r>
        <w:rPr>
          <w:b/>
          <w:bCs/>
        </w:rPr>
        <w:t xml:space="preserve">C.5 — Role-based access control?</w:t>
      </w:r>
      <w:r>
        <w:t xml:space="preserve"> </w:t>
      </w:r>
      <w:r>
        <w:t xml:space="preserve">Four 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ops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internal_control</w:t>
      </w:r>
      <w:r>
        <w:t xml:space="preserve">. Maker /</w:t>
      </w:r>
      <w:r>
        <w:t xml:space="preserve"> </w:t>
      </w:r>
      <w:r>
        <w:t xml:space="preserve">checker / approver enforced on certificate workflow. ✅</w:t>
      </w:r>
    </w:p>
    <w:p>
      <w:pPr>
        <w:pStyle w:val="BodyText"/>
      </w:pPr>
      <w:r>
        <w:rPr>
          <w:b/>
          <w:bCs/>
        </w:rPr>
        <w:t xml:space="preserve">C.6 — Per-user data segmentation?</w:t>
      </w:r>
      <w:r>
        <w:t xml:space="preserve"> </w:t>
      </w:r>
      <w:r>
        <w:t xml:space="preserve">Yes. Each account is tagged with an</w:t>
      </w:r>
      <w:r>
        <w:t xml:space="preserve"> </w:t>
      </w:r>
      <w:r>
        <w:rPr>
          <w:rStyle w:val="VerbatimChar"/>
        </w:rPr>
        <w:t xml:space="preserve">access_area</w:t>
      </w:r>
      <w:r>
        <w:t xml:space="preserve">; users have a scope</w:t>
      </w:r>
      <w:r>
        <w:t xml:space="preserve"> </w:t>
      </w:r>
      <w:r>
        <w:t xml:space="preserve">list; reads are filtered, writes are pre-checked. Documented in</w:t>
      </w:r>
      <w:r>
        <w:t xml:space="preserve"> </w:t>
      </w:r>
      <w:hyperlink r:id="rId12">
        <w:r>
          <w:rPr>
            <w:rStyle w:val="Hyperlink"/>
          </w:rPr>
          <w:t xml:space="preserve">ARCHITECTURE.md</w:t>
        </w:r>
      </w:hyperlink>
      <w:r>
        <w:t xml:space="preserve"> </w:t>
      </w:r>
      <w:r>
        <w:t xml:space="preserve">§5. ✅</w:t>
      </w:r>
    </w:p>
    <w:p>
      <w:pPr>
        <w:pStyle w:val="BodyText"/>
      </w:pPr>
      <w:r>
        <w:rPr>
          <w:b/>
          <w:bCs/>
        </w:rPr>
        <w:t xml:space="preserve">C.7 — Privileged-access management?</w:t>
      </w:r>
      <w:r>
        <w:t xml:space="preserve"> </w:t>
      </w:r>
      <w:r>
        <w:t xml:space="preserve">Admin role is the only one that can create users, change roles, or</w:t>
      </w:r>
      <w:r>
        <w:t xml:space="preserve"> </w:t>
      </w:r>
      <w:r>
        <w:t xml:space="preserve">sign certificates. Customer-side PAM (CyberArk / etc.) wraps the</w:t>
      </w:r>
      <w:r>
        <w:t xml:space="preserve"> </w:t>
      </w:r>
      <w:r>
        <w:t xml:space="preserve">container host as usual. 🟡</w:t>
      </w:r>
    </w:p>
    <w:p>
      <w:pPr>
        <w:pStyle w:val="BodyText"/>
      </w:pPr>
      <w:r>
        <w:rPr>
          <w:b/>
          <w:bCs/>
        </w:rPr>
        <w:t xml:space="preserve">C.8 — Account lockout / brute-force defence?</w:t>
      </w:r>
      <w:r>
        <w:t xml:space="preserve"> </w:t>
      </w:r>
      <w:r>
        <w:t xml:space="preserve">Rate limit on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(10 attempts / minute / IP). Failed-login</w:t>
      </w:r>
      <w:r>
        <w:t xml:space="preserve"> </w:t>
      </w:r>
      <w:r>
        <w:t xml:space="preserve">audit-log rows carry the failure category for SIEM alerting. ✅</w:t>
      </w:r>
    </w:p>
    <w:bookmarkEnd w:id="13"/>
    <w:bookmarkStart w:id="15" w:name="d.-cryptography"/>
    <w:p>
      <w:pPr>
        <w:pStyle w:val="Heading2"/>
      </w:pPr>
      <w:r>
        <w:t xml:space="preserve">D. Cryptography</w:t>
      </w:r>
    </w:p>
    <w:p>
      <w:pPr>
        <w:pStyle w:val="FirstParagraph"/>
      </w:pPr>
      <w:r>
        <w:rPr>
          <w:b/>
          <w:bCs/>
        </w:rPr>
        <w:t xml:space="preserve">D.1 — Encryption at rest?</w:t>
      </w:r>
      <w:r>
        <w:t xml:space="preserve"> </w:t>
      </w:r>
      <w:r>
        <w:t xml:space="preserve">Fernet (AES-128-CBC + HMAC-SHA256, 256-bit key) for TOTP secrets and</w:t>
      </w:r>
      <w:r>
        <w:t xml:space="preserve"> </w:t>
      </w:r>
      <w:r>
        <w:t xml:space="preserve">SMTP credentials. Application-level rather than full-disk — encrypted</w:t>
      </w:r>
      <w:r>
        <w:t xml:space="preserve"> </w:t>
      </w:r>
      <w:r>
        <w:t xml:space="preserve">backups remain encrypted even if exfiltrated. The customer’s</w:t>
      </w:r>
      <w:r>
        <w:t xml:space="preserve"> </w:t>
      </w:r>
      <w:r>
        <w:t xml:space="preserve">filesystem-level encryption (FDE) covers the rest. ✅ (app-level)</w:t>
      </w:r>
      <w:r>
        <w:t xml:space="preserve"> </w:t>
      </w:r>
      <w:r>
        <w:t xml:space="preserve">🟡 (FDE).</w:t>
      </w:r>
    </w:p>
    <w:p>
      <w:pPr>
        <w:pStyle w:val="BodyText"/>
      </w:pPr>
      <w:r>
        <w:rPr>
          <w:b/>
          <w:bCs/>
        </w:rPr>
        <w:t xml:space="preserve">D.2 — Encryption in transit?</w:t>
      </w:r>
      <w:r>
        <w:t xml:space="preserve"> </w:t>
      </w:r>
      <w:r>
        <w:t xml:space="preserve">TLS terminated at the customer’s reverse proxy. HSTS preload-eligible</w:t>
      </w:r>
      <w:r>
        <w:t xml:space="preserve"> </w:t>
      </w:r>
      <w:r>
        <w:t xml:space="preserve">header on every response. Internal proxy → container link is plain HTTP</w:t>
      </w:r>
      <w:r>
        <w:t xml:space="preserve"> </w:t>
      </w:r>
      <w:r>
        <w:t xml:space="preserve">on loopback (within the host); recommendation in DEPLOY.md is to</w:t>
      </w:r>
      <w:r>
        <w:t xml:space="preserve"> </w:t>
      </w:r>
      <w:r>
        <w:t xml:space="preserve">constrain that to localhost. ✅ + 🟡</w:t>
      </w:r>
    </w:p>
    <w:p>
      <w:pPr>
        <w:pStyle w:val="BodyText"/>
      </w:pPr>
      <w:r>
        <w:rPr>
          <w:b/>
          <w:bCs/>
        </w:rPr>
        <w:t xml:space="preserve">D.3 — Key management?</w:t>
      </w:r>
      <w:r>
        <w:t xml:space="preserve"> </w:t>
      </w:r>
      <w:r>
        <w:rPr>
          <w:rStyle w:val="VerbatimChar"/>
        </w:rPr>
        <w:t xml:space="preserve">KILTER_SECRET_KEY</w:t>
      </w:r>
      <w:r>
        <w:t xml:space="preserve"> </w:t>
      </w:r>
      <w:r>
        <w:t xml:space="preserve">env var, sourced from the customer’s secret</w:t>
      </w:r>
      <w:r>
        <w:t xml:space="preserve"> </w:t>
      </w:r>
      <w:r>
        <w:t xml:space="preserve">manager (Vault / AWS SM / 1Password / equivalent). On dev only, a</w:t>
      </w:r>
      <w:r>
        <w:t xml:space="preserve"> </w:t>
      </w:r>
      <w:r>
        <w:t xml:space="preserve">0600-mode</w:t>
      </w:r>
      <w:r>
        <w:t xml:space="preserve"> </w:t>
      </w:r>
      <w:r>
        <w:rPr>
          <w:rStyle w:val="VerbatimChar"/>
        </w:rPr>
        <w:t xml:space="preserve">.kilter_secret_key</w:t>
      </w:r>
      <w:r>
        <w:t xml:space="preserve"> </w:t>
      </w:r>
      <w:r>
        <w:t xml:space="preserve">file is generated as a fallback;</w:t>
      </w:r>
      <w:r>
        <w:t xml:space="preserve"> </w:t>
      </w:r>
      <w:hyperlink r:id="rId14">
        <w:r>
          <w:rPr>
            <w:rStyle w:val="Hyperlink"/>
          </w:rPr>
          <w:t xml:space="preserve">OPERATOR_NOTES.md</w:t>
        </w:r>
      </w:hyperlink>
      <w:r>
        <w:t xml:space="preserve"> </w:t>
      </w:r>
      <w:r>
        <w:t xml:space="preserve">documents the</w:t>
      </w:r>
      <w:r>
        <w:t xml:space="preserve"> </w:t>
      </w:r>
      <w:r>
        <w:t xml:space="preserve">promotion procedure. ✅</w:t>
      </w:r>
    </w:p>
    <w:p>
      <w:pPr>
        <w:pStyle w:val="BodyText"/>
      </w:pPr>
      <w:r>
        <w:rPr>
          <w:b/>
          <w:bCs/>
        </w:rPr>
        <w:t xml:space="preserve">D.4 — Key rotation?</w:t>
      </w:r>
      <w:r>
        <w:t xml:space="preserve"> </w:t>
      </w:r>
      <w:r>
        <w:rPr>
          <w:rStyle w:val="VerbatimChar"/>
        </w:rPr>
        <w:t xml:space="preserve">secrets_vault.rotate_key()</w:t>
      </w:r>
      <w:r>
        <w:t xml:space="preserve"> </w:t>
      </w:r>
      <w:r>
        <w:t xml:space="preserve">re-encrypts every protected column.</w:t>
      </w:r>
      <w:r>
        <w:t xml:space="preserve"> </w:t>
      </w:r>
      <w:r>
        <w:t xml:space="preserve">Wired but not yet exposed via a CLI; planned before first paid</w:t>
      </w:r>
      <w:r>
        <w:t xml:space="preserve"> </w:t>
      </w:r>
      <w:r>
        <w:t xml:space="preserve">customer. ⚠️</w:t>
      </w:r>
    </w:p>
    <w:p>
      <w:pPr>
        <w:pStyle w:val="BodyText"/>
      </w:pPr>
      <w:r>
        <w:rPr>
          <w:b/>
          <w:bCs/>
        </w:rPr>
        <w:t xml:space="preserve">D.5 — HSM?</w:t>
      </w:r>
      <w:r>
        <w:t xml:space="preserve"> </w:t>
      </w:r>
      <w:r>
        <w:t xml:space="preserve">Not today. A wrapper that decrypts</w:t>
      </w:r>
      <w:r>
        <w:t xml:space="preserve"> </w:t>
      </w:r>
      <w:r>
        <w:rPr>
          <w:rStyle w:val="VerbatimChar"/>
        </w:rPr>
        <w:t xml:space="preserve">KILTER_SECRET_KEY</w:t>
      </w:r>
      <w:r>
        <w:t xml:space="preserve"> </w:t>
      </w:r>
      <w:r>
        <w:t xml:space="preserve">from an HSM at</w:t>
      </w:r>
      <w:r>
        <w:t xml:space="preserve"> </w:t>
      </w:r>
      <w:r>
        <w:t xml:space="preserve">container startup is feasible per-deployment if a customer mandates</w:t>
      </w:r>
      <w:r>
        <w:t xml:space="preserve"> </w:t>
      </w:r>
      <w:r>
        <w:t xml:space="preserve">it. Out of scope for the pilot. ❌</w:t>
      </w:r>
    </w:p>
    <w:bookmarkEnd w:id="15"/>
    <w:bookmarkStart w:id="17" w:name="e.-vulnerability-and-patch-management"/>
    <w:p>
      <w:pPr>
        <w:pStyle w:val="Heading2"/>
      </w:pPr>
      <w:r>
        <w:t xml:space="preserve">E. Vulnerability and patch management</w:t>
      </w:r>
    </w:p>
    <w:p>
      <w:pPr>
        <w:pStyle w:val="FirstParagraph"/>
      </w:pPr>
      <w:r>
        <w:rPr>
          <w:b/>
          <w:bCs/>
        </w:rPr>
        <w:t xml:space="preserve">E.1 — Pinned dependencies?</w:t>
      </w:r>
      <w:r>
        <w:t xml:space="preserve"> </w:t>
      </w:r>
      <w:r>
        <w:t xml:space="preserve">Yes, exact versions.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is read-only between</w:t>
      </w:r>
      <w:r>
        <w:t xml:space="preserve"> </w:t>
      </w:r>
      <w:r>
        <w:t xml:space="preserve">deliberate bumps. ✅</w:t>
      </w:r>
    </w:p>
    <w:p>
      <w:pPr>
        <w:pStyle w:val="BodyText"/>
      </w:pPr>
      <w:r>
        <w:rPr>
          <w:b/>
          <w:bCs/>
        </w:rPr>
        <w:t xml:space="preserve">E.2 — Vulnerability scanning?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(or equivalent) is run before each release. ✅</w:t>
      </w:r>
      <w:r>
        <w:t xml:space="preserve"> </w:t>
      </w:r>
      <w:r>
        <w:t xml:space="preserve">Container scanning (Trivy / Snyk / Anchore) is the customer’s</w:t>
      </w:r>
      <w:r>
        <w:t xml:space="preserve"> </w:t>
      </w:r>
      <w:r>
        <w:t xml:space="preserve">existing pipeline; the slim Python 3.12 base image is intentionally</w:t>
      </w:r>
      <w:r>
        <w:t xml:space="preserve"> </w:t>
      </w:r>
      <w:r>
        <w:t xml:space="preserve">boring. 🟡</w:t>
      </w:r>
    </w:p>
    <w:p>
      <w:pPr>
        <w:pStyle w:val="BodyText"/>
      </w:pPr>
      <w:r>
        <w:rPr>
          <w:b/>
          <w:bCs/>
        </w:rPr>
        <w:t xml:space="preserve">E.3 — Patch SLA?</w:t>
      </w:r>
      <w:r>
        <w:t xml:space="preserve"> </w:t>
      </w:r>
      <w:r>
        <w:t xml:space="preserve">Critical: patched and released within 7 calendar days of a confirmed</w:t>
      </w:r>
      <w:r>
        <w:t xml:space="preserve"> </w:t>
      </w:r>
      <w:r>
        <w:t xml:space="preserve">exploit. High: 30 days. Medium / low: next scheduled release. Customer</w:t>
      </w:r>
      <w:r>
        <w:t xml:space="preserve"> </w:t>
      </w:r>
      <w:r>
        <w:t xml:space="preserve">applies via a routine</w:t>
      </w:r>
      <w:r>
        <w:t xml:space="preserve"> </w:t>
      </w:r>
      <w:r>
        <w:rPr>
          <w:rStyle w:val="VerbatimChar"/>
        </w:rPr>
        <w:t xml:space="preserve">docker compose build --pull &amp;&amp; up -d</w:t>
      </w:r>
      <w:r>
        <w:t xml:space="preserve">. ✅</w:t>
      </w:r>
    </w:p>
    <w:p>
      <w:pPr>
        <w:pStyle w:val="BodyText"/>
      </w:pPr>
      <w:r>
        <w:rPr>
          <w:b/>
          <w:bCs/>
        </w:rPr>
        <w:t xml:space="preserve">E.4 — Penetration testing?</w:t>
      </w:r>
      <w:r>
        <w:t xml:space="preserve"> </w:t>
      </w:r>
      <w:r>
        <w:t xml:space="preserve">Internal pentest pass on 2026-04-23 to 2026-04-26; all critical /</w:t>
      </w:r>
      <w:r>
        <w:t xml:space="preserve"> </w:t>
      </w:r>
      <w:r>
        <w:t xml:space="preserve">high / medium / low findings remediated. External third-party</w:t>
      </w:r>
      <w:r>
        <w:t xml:space="preserve"> </w:t>
      </w:r>
      <w:r>
        <w:t xml:space="preserve">engagement scheduled Q4 2026. See</w:t>
      </w:r>
      <w:r>
        <w:t xml:space="preserve"> </w:t>
      </w:r>
      <w:hyperlink r:id="rId16">
        <w:r>
          <w:rPr>
            <w:rStyle w:val="Hyperlink"/>
          </w:rPr>
          <w:t xml:space="preserve">PENTEST_SUMMARY.md</w:t>
        </w:r>
      </w:hyperlink>
      <w:r>
        <w:t xml:space="preserve">. ⚠️ (internal only today)</w:t>
      </w:r>
    </w:p>
    <w:bookmarkEnd w:id="17"/>
    <w:bookmarkStart w:id="18" w:name="Xcd29e1c9a599bc614ba0224f1003600b5c62068"/>
    <w:p>
      <w:pPr>
        <w:pStyle w:val="Heading2"/>
      </w:pPr>
      <w:r>
        <w:t xml:space="preserve">F. Logging, monitoring, and incident response</w:t>
      </w:r>
    </w:p>
    <w:p>
      <w:pPr>
        <w:pStyle w:val="FirstParagraph"/>
      </w:pPr>
      <w:r>
        <w:rPr>
          <w:b/>
          <w:bCs/>
        </w:rPr>
        <w:t xml:space="preserve">F.1 — Audit logging?</w:t>
      </w:r>
      <w:r>
        <w:t xml:space="preserve"> </w:t>
      </w:r>
      <w:r>
        <w:t xml:space="preserve">Append-only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table. Captures authentication events</w:t>
      </w:r>
      <w:r>
        <w:t xml:space="preserve"> </w:t>
      </w:r>
      <w:r>
        <w:t xml:space="preserve">(success and failure with categorised reason), MFA enrollment,</w:t>
      </w:r>
      <w:r>
        <w:t xml:space="preserve"> </w:t>
      </w:r>
      <w:r>
        <w:t xml:space="preserve">session lifecycle, configuration changes, certificate transitions,</w:t>
      </w:r>
      <w:r>
        <w:t xml:space="preserve"> </w:t>
      </w:r>
      <w:r>
        <w:t xml:space="preserve">reconciliation decisions. ✅</w:t>
      </w:r>
    </w:p>
    <w:p>
      <w:pPr>
        <w:pStyle w:val="BodyText"/>
      </w:pPr>
      <w:r>
        <w:rPr>
          <w:b/>
          <w:bCs/>
        </w:rPr>
        <w:t xml:space="preserve">F.2 — SIEM integration?</w:t>
      </w:r>
      <w:r>
        <w:t xml:space="preserve"> </w:t>
      </w:r>
      <w:r>
        <w:t xml:space="preserve">Container stdout is captured by the host’s Docker logging driver</w:t>
      </w:r>
      <w:r>
        <w:t xml:space="preserve"> </w:t>
      </w:r>
      <w:r>
        <w:t xml:space="preserve">(json-file with rotation). Customer ships to their SIEM via the host’s</w:t>
      </w:r>
      <w:r>
        <w:t xml:space="preserve"> </w:t>
      </w:r>
      <w:r>
        <w:t xml:space="preserve">existing log pipeline. ✅ (we provide the data) 🟡 (customer pipes it)</w:t>
      </w:r>
    </w:p>
    <w:p>
      <w:pPr>
        <w:pStyle w:val="BodyText"/>
      </w:pPr>
      <w:r>
        <w:rPr>
          <w:b/>
          <w:bCs/>
        </w:rPr>
        <w:t xml:space="preserve">F.3 — Real-time alerting?</w:t>
      </w:r>
      <w:r>
        <w:t xml:space="preserve"> </w:t>
      </w:r>
      <w:r>
        <w:t xml:space="preserve">Customer-side. Recommendations in</w:t>
      </w:r>
      <w:r>
        <w:t xml:space="preserve"> </w:t>
      </w:r>
      <w:hyperlink r:id="rId12">
        <w:r>
          <w:rPr>
            <w:rStyle w:val="Hyperlink"/>
          </w:rPr>
          <w:t xml:space="preserve">ARCHITECTURE.md</w:t>
        </w:r>
      </w:hyperlink>
      <w:r>
        <w:t xml:space="preserve"> </w:t>
      </w:r>
      <w:r>
        <w:t xml:space="preserve">§7 for queries to wire up</w:t>
      </w:r>
      <w:r>
        <w:t xml:space="preserve"> </w:t>
      </w:r>
      <w:r>
        <w:t xml:space="preserve">(repeat-failed-login, ambiguous-match-spike, certificate signed off</w:t>
      </w:r>
      <w:r>
        <w:t xml:space="preserve"> </w:t>
      </w:r>
      <w:r>
        <w:t xml:space="preserve">hours).</w:t>
      </w:r>
    </w:p>
    <w:p>
      <w:pPr>
        <w:pStyle w:val="BodyText"/>
      </w:pPr>
      <w:r>
        <w:rPr>
          <w:b/>
          <w:bCs/>
        </w:rPr>
        <w:t xml:space="preserve">F.4 — Incident-response plan?</w:t>
      </w:r>
      <w:r>
        <w:t xml:space="preserve"> </w:t>
      </w:r>
      <w:r>
        <w:t xml:space="preserve">Documented commitments are in</w:t>
      </w:r>
      <w:r>
        <w:t xml:space="preserve"> </w:t>
      </w:r>
      <w:hyperlink r:id="rId9">
        <w:r>
          <w:rPr>
            <w:rStyle w:val="Hyperlink"/>
          </w:rPr>
          <w:t xml:space="preserve">DPA Section 8</w:t>
        </w:r>
      </w:hyperlink>
      <w:r>
        <w:t xml:space="preserve">:</w:t>
      </w:r>
      <w:r>
        <w:t xml:space="preserve"> </w:t>
      </w:r>
      <w:r>
        <w:t xml:space="preserve">72-hour breach-notification clock from confirmed awareness; named</w:t>
      </w:r>
      <w:r>
        <w:t xml:space="preserve"> </w:t>
      </w:r>
      <w:r>
        <w:t xml:space="preserve">on-call contact; cooperation with the customer’s investigation. ✅</w:t>
      </w:r>
    </w:p>
    <w:bookmarkEnd w:id="18"/>
    <w:bookmarkStart w:id="20" w:name="Xd9382afb7149ec1401aad65c72f189db1d3817d"/>
    <w:p>
      <w:pPr>
        <w:pStyle w:val="Heading2"/>
      </w:pPr>
      <w:r>
        <w:t xml:space="preserve">G. Backup, business continuity, disaster recovery</w:t>
      </w:r>
    </w:p>
    <w:p>
      <w:pPr>
        <w:pStyle w:val="FirstParagraph"/>
      </w:pPr>
      <w:r>
        <w:rPr>
          <w:b/>
          <w:bCs/>
        </w:rPr>
        <w:t xml:space="preserve">G.1 — Backups?</w:t>
      </w:r>
      <w:r>
        <w:t xml:space="preserve"> </w:t>
      </w:r>
      <w:r>
        <w:t xml:space="preserve">The customer backs up the</w:t>
      </w:r>
      <w:r>
        <w:t xml:space="preserve"> </w:t>
      </w:r>
      <w:r>
        <w:rPr>
          <w:rStyle w:val="VerbatimChar"/>
        </w:rPr>
        <w:t xml:space="preserve">kilter-data</w:t>
      </w:r>
      <w:r>
        <w:t xml:space="preserve"> </w:t>
      </w:r>
      <w:r>
        <w:t xml:space="preserve">volume (single SQLite file).</w:t>
      </w:r>
      <w:r>
        <w:t xml:space="preserve"> </w:t>
      </w:r>
      <w:r>
        <w:t xml:space="preserve">Procedure documented in</w:t>
      </w:r>
      <w:r>
        <w:t xml:space="preserve"> </w:t>
      </w:r>
      <w:hyperlink r:id="rId19">
        <w:r>
          <w:rPr>
            <w:rStyle w:val="Hyperlink"/>
          </w:rPr>
          <w:t xml:space="preserve">DEPLOY.md</w:t>
        </w:r>
      </w:hyperlink>
      <w:r>
        <w:t xml:space="preserve"> </w:t>
      </w:r>
      <w:r>
        <w:t xml:space="preserve">§3. We don’t</w:t>
      </w:r>
      <w:r>
        <w:t xml:space="preserve"> </w:t>
      </w:r>
      <w:r>
        <w:t xml:space="preserve">hold customer data, so we don’t back it up. 🟡</w:t>
      </w:r>
    </w:p>
    <w:p>
      <w:pPr>
        <w:pStyle w:val="BodyText"/>
      </w:pPr>
      <w:r>
        <w:rPr>
          <w:b/>
          <w:bCs/>
        </w:rPr>
        <w:t xml:space="preserve">G.2 — RPO / RTO?</w:t>
      </w:r>
      <w:r>
        <w:t xml:space="preserve"> </w:t>
      </w:r>
      <w:r>
        <w:t xml:space="preserve">For on-prem: customer-defined. The application restores cleanly from</w:t>
      </w:r>
      <w:r>
        <w:t xml:space="preserve"> </w:t>
      </w:r>
      <w:r>
        <w:t xml:space="preserve">a copied DB file in seconds. We commit to an RTO of 4 hours for</w:t>
      </w:r>
      <w:r>
        <w:t xml:space="preserve"> </w:t>
      </w:r>
      <w:r>
        <w:t xml:space="preserve">incidents we cause (e.g., a botched release rollback) once we have a</w:t>
      </w:r>
      <w:r>
        <w:t xml:space="preserve"> </w:t>
      </w:r>
      <w:r>
        <w:t xml:space="preserve">managed-service offering; for pilot, the customer owns RTO/RPO end-</w:t>
      </w:r>
      <w:r>
        <w:t xml:space="preserve"> </w:t>
      </w:r>
      <w:r>
        <w:t xml:space="preserve">to-end.</w:t>
      </w:r>
    </w:p>
    <w:p>
      <w:pPr>
        <w:pStyle w:val="BodyText"/>
      </w:pPr>
      <w:r>
        <w:rPr>
          <w:b/>
          <w:bCs/>
        </w:rPr>
        <w:t xml:space="preserve">G.3 — Tested restore?</w:t>
      </w:r>
      <w:r>
        <w:t xml:space="preserve"> </w:t>
      </w:r>
      <w:r>
        <w:t xml:space="preserve">The compose-pause-snapshot procedure in DEPLOY.md is the documented</w:t>
      </w:r>
      <w:r>
        <w:t xml:space="preserve"> </w:t>
      </w:r>
      <w:r>
        <w:t xml:space="preserve">pattern; quarterly restore testing is the recommended cadence. 🟡</w:t>
      </w:r>
    </w:p>
    <w:bookmarkEnd w:id="20"/>
    <w:bookmarkStart w:id="21" w:name="h.-personnel-and-supply-chain"/>
    <w:p>
      <w:pPr>
        <w:pStyle w:val="Heading2"/>
      </w:pPr>
      <w:r>
        <w:t xml:space="preserve">H. Personnel and supply chain</w:t>
      </w:r>
    </w:p>
    <w:p>
      <w:pPr>
        <w:pStyle w:val="FirstParagraph"/>
      </w:pPr>
      <w:r>
        <w:rPr>
          <w:b/>
          <w:bCs/>
        </w:rPr>
        <w:t xml:space="preserve">H.1 — Background checks on personnel?</w:t>
      </w:r>
      <w:r>
        <w:t xml:space="preserve"> </w:t>
      </w:r>
      <w:r>
        <w:t xml:space="preserve">DPA Annex A:</w:t>
      </w:r>
      <w:r>
        <w:t xml:space="preserve"> </w:t>
      </w:r>
      <w:r>
        <w:t xml:space="preserve">“background checks where local law permits; written</w:t>
      </w:r>
      <w:r>
        <w:t xml:space="preserve"> </w:t>
      </w:r>
      <w:r>
        <w:t xml:space="preserve">confidentiality undertakings; data-protection training on hire and at</w:t>
      </w:r>
      <w:r>
        <w:t xml:space="preserve"> </w:t>
      </w:r>
      <w:r>
        <w:t xml:space="preserve">least annually.”</w:t>
      </w:r>
      <w:r>
        <w:t xml:space="preserve"> </w:t>
      </w:r>
      <w:r>
        <w:t xml:space="preserve">✅ as policy; small-team practice today.</w:t>
      </w:r>
    </w:p>
    <w:p>
      <w:pPr>
        <w:pStyle w:val="BodyText"/>
      </w:pPr>
      <w:r>
        <w:rPr>
          <w:b/>
          <w:bCs/>
        </w:rPr>
        <w:t xml:space="preserve">H.2 — Code review?</w:t>
      </w:r>
      <w:r>
        <w:t xml:space="preserve"> </w:t>
      </w:r>
      <w:r>
        <w:t xml:space="preserve">Every change is reviewed before merge. ✅</w:t>
      </w:r>
    </w:p>
    <w:p>
      <w:pPr>
        <w:pStyle w:val="BodyText"/>
      </w:pPr>
      <w:r>
        <w:rPr>
          <w:b/>
          <w:bCs/>
        </w:rPr>
        <w:t xml:space="preserve">H.3 — Source-code provenance?</w:t>
      </w:r>
      <w:r>
        <w:t xml:space="preserve"> </w:t>
      </w:r>
      <w:r>
        <w:t xml:space="preserve">Repository is private; commits are signed. Pinned dependencies; no</w:t>
      </w:r>
      <w:r>
        <w:t xml:space="preserve"> </w:t>
      </w:r>
      <w:r>
        <w:t xml:space="preserve">upstream CDN script tags in production templates. ✅</w:t>
      </w:r>
    </w:p>
    <w:p>
      <w:pPr>
        <w:pStyle w:val="BodyText"/>
      </w:pPr>
      <w:r>
        <w:rPr>
          <w:b/>
          <w:bCs/>
        </w:rPr>
        <w:t xml:space="preserve">H.4 — Build supply chain?</w:t>
      </w:r>
      <w:r>
        <w:t xml:space="preserve"> </w:t>
      </w:r>
      <w:r>
        <w:t xml:space="preserve">Container builds from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 </w:t>
      </w:r>
      <w:r>
        <w:t xml:space="preserve">(Debian). No private</w:t>
      </w:r>
      <w:r>
        <w:t xml:space="preserve"> </w:t>
      </w:r>
      <w:r>
        <w:t xml:space="preserve">internal mirror today; building from upstream PyPI / Debian. ⚠️ —</w:t>
      </w:r>
      <w:r>
        <w:t xml:space="preserve"> </w:t>
      </w:r>
      <w:r>
        <w:t xml:space="preserve">a customer-managed build pipeline can substitute their own approved</w:t>
      </w:r>
      <w:r>
        <w:t xml:space="preserve"> </w:t>
      </w:r>
      <w:r>
        <w:t xml:space="preserve">base if they require it.</w:t>
      </w:r>
    </w:p>
    <w:bookmarkEnd w:id="21"/>
    <w:bookmarkStart w:id="22" w:name="i.-data-subject-rights-and-privacy"/>
    <w:p>
      <w:pPr>
        <w:pStyle w:val="Heading2"/>
      </w:pPr>
      <w:r>
        <w:t xml:space="preserve">I. Data subject rights and privacy</w:t>
      </w:r>
    </w:p>
    <w:p>
      <w:pPr>
        <w:pStyle w:val="FirstParagraph"/>
      </w:pPr>
      <w:r>
        <w:rPr>
          <w:b/>
          <w:bCs/>
        </w:rPr>
        <w:t xml:space="preserve">I.1 — Data subject access requests?</w:t>
      </w:r>
      <w:r>
        <w:t xml:space="preserve"> </w:t>
      </w:r>
      <w:r>
        <w:t xml:space="preserve">Kilter is a Processor, the customer is the Controller (DPA Section 2).</w:t>
      </w:r>
      <w:r>
        <w:t xml:space="preserve"> </w:t>
      </w:r>
      <w:r>
        <w:t xml:space="preserve">Requests come to the customer; we assist per DPA Section 5.3 within</w:t>
      </w:r>
      <w:r>
        <w:t xml:space="preserve"> </w:t>
      </w:r>
      <w:r>
        <w:t xml:space="preserve">the timelines they require.</w:t>
      </w:r>
    </w:p>
    <w:p>
      <w:pPr>
        <w:pStyle w:val="BodyText"/>
      </w:pPr>
      <w:r>
        <w:rPr>
          <w:b/>
          <w:bCs/>
        </w:rPr>
        <w:t xml:space="preserve">I.2 — Data deletion on termination?</w:t>
      </w:r>
      <w:r>
        <w:t xml:space="preserve"> </w:t>
      </w:r>
      <w:r>
        <w:t xml:space="preserve">Within 30 days of contract termination; certified in writing on</w:t>
      </w:r>
      <w:r>
        <w:t xml:space="preserve"> </w:t>
      </w:r>
      <w:r>
        <w:t xml:space="preserve">request. DPA Section 5.5. ✅</w:t>
      </w:r>
    </w:p>
    <w:p>
      <w:pPr>
        <w:pStyle w:val="BodyText"/>
      </w:pPr>
      <w:r>
        <w:rPr>
          <w:b/>
          <w:bCs/>
        </w:rPr>
        <w:t xml:space="preserve">I.3 — Cross-border transfer?</w:t>
      </w:r>
      <w:r>
        <w:t xml:space="preserve"> </w:t>
      </w:r>
      <w:r>
        <w:t xml:space="preserve">On-premises deployments don’t transfer data. If the customer opts</w:t>
      </w:r>
      <w:r>
        <w:t xml:space="preserve"> </w:t>
      </w:r>
      <w:r>
        <w:t xml:space="preserve">into a Kilter-managed deployment, default region is configured with</w:t>
      </w:r>
      <w:r>
        <w:t xml:space="preserve"> </w:t>
      </w:r>
      <w:r>
        <w:t xml:space="preserve">the customer (AWS Frankfurt for Europe, AWS Cape Town for Africa).</w:t>
      </w:r>
      <w:r>
        <w:t xml:space="preserve"> </w:t>
      </w:r>
      <w:r>
        <w:t xml:space="preserve">DPA Section 7. 🟡</w:t>
      </w:r>
    </w:p>
    <w:bookmarkEnd w:id="22"/>
    <w:bookmarkStart w:id="23" w:name="j.-compliance-and-certifications"/>
    <w:p>
      <w:pPr>
        <w:pStyle w:val="Heading2"/>
      </w:pPr>
      <w:r>
        <w:t xml:space="preserve">J. Compliance and certifications</w:t>
      </w:r>
    </w:p>
    <w:p>
      <w:pPr>
        <w:pStyle w:val="FirstParagraph"/>
      </w:pPr>
      <w:r>
        <w:rPr>
          <w:b/>
          <w:bCs/>
        </w:rPr>
        <w:t xml:space="preserve">J.1 — SOC 2?</w:t>
      </w:r>
      <w:r>
        <w:t xml:space="preserve"> </w:t>
      </w:r>
      <w:r>
        <w:t xml:space="preserve">Not yet. Earliest realistic Type I: 12 months from first paying</w:t>
      </w:r>
      <w:r>
        <w:t xml:space="preserve"> </w:t>
      </w:r>
      <w:r>
        <w:t xml:space="preserve">customer (~2027 Q1). Customer-funded acceleration is possible. ❌</w:t>
      </w:r>
      <w:r>
        <w:t xml:space="preserve"> </w:t>
      </w:r>
      <w:r>
        <w:t xml:space="preserve">today.</w:t>
      </w:r>
    </w:p>
    <w:p>
      <w:pPr>
        <w:pStyle w:val="BodyText"/>
      </w:pPr>
      <w:r>
        <w:rPr>
          <w:b/>
          <w:bCs/>
        </w:rPr>
        <w:t xml:space="preserve">J.2 — ISO 27001?</w:t>
      </w:r>
      <w:r>
        <w:t xml:space="preserve"> </w:t>
      </w:r>
      <w:r>
        <w:t xml:space="preserve">Not yet. Defer until ≥3 paying customers + dedicated security lead.</w:t>
      </w:r>
      <w:r>
        <w:t xml:space="preserve"> </w:t>
      </w:r>
      <w:r>
        <w:t xml:space="preserve">❌ today.</w:t>
      </w:r>
    </w:p>
    <w:p>
      <w:pPr>
        <w:pStyle w:val="BodyText"/>
      </w:pPr>
      <w:r>
        <w:rPr>
          <w:b/>
          <w:bCs/>
        </w:rPr>
        <w:t xml:space="preserve">J.3 — PCI-DSS?</w:t>
      </w:r>
      <w:r>
        <w:t xml:space="preserve"> </w:t>
      </w:r>
      <w:r>
        <w:t xml:space="preserve">Not in scope — Kilter does not process or store cardholder data.</w:t>
      </w:r>
      <w:r>
        <w:t xml:space="preserve"> </w:t>
      </w:r>
      <w:r>
        <w:t xml:space="preserve">Application-level data validation rejects card-number-shaped strings</w:t>
      </w:r>
      <w:r>
        <w:t xml:space="preserve"> </w:t>
      </w:r>
      <w:r>
        <w:t xml:space="preserve">in transaction narratives.</w:t>
      </w:r>
    </w:p>
    <w:p>
      <w:pPr>
        <w:pStyle w:val="BodyText"/>
      </w:pPr>
      <w:r>
        <w:rPr>
          <w:b/>
          <w:bCs/>
        </w:rPr>
        <w:t xml:space="preserve">J.4 — GDPR / Ghana DPA 2012?</w:t>
      </w:r>
      <w:r>
        <w:t xml:space="preserve"> </w:t>
      </w:r>
      <w:r>
        <w:t xml:space="preserve">DPA covers both. See</w:t>
      </w:r>
      <w:r>
        <w:t xml:space="preserve"> </w:t>
      </w:r>
      <w:hyperlink r:id="rId9">
        <w:r>
          <w:rPr>
            <w:rStyle w:val="Hyperlink"/>
          </w:rPr>
          <w:t xml:space="preserve">DPA Section 1</w:t>
        </w:r>
      </w:hyperlink>
      <w:r>
        <w:t xml:space="preserve">. ✅</w:t>
      </w:r>
    </w:p>
    <w:p>
      <w:pPr>
        <w:pStyle w:val="BodyText"/>
      </w:pPr>
      <w:r>
        <w:rPr>
          <w:b/>
          <w:bCs/>
        </w:rPr>
        <w:t xml:space="preserve">J.5 — BoG / FCA / ECB outsourcing rules?</w:t>
      </w:r>
      <w:r>
        <w:t xml:space="preserve"> </w:t>
      </w:r>
      <w:r>
        <w:t xml:space="preserve">Kilter is shipped as software; the bank operates it. So the bank’s</w:t>
      </w:r>
      <w:r>
        <w:t xml:space="preserve"> </w:t>
      </w:r>
      <w:r>
        <w:t xml:space="preserve">outsourcing controls apply to its own operations team. We accommodate</w:t>
      </w:r>
      <w:r>
        <w:t xml:space="preserve"> </w:t>
      </w:r>
      <w:r>
        <w:t xml:space="preserve">specific clauses (right-to-audit, pre-approval of subcontractors,</w:t>
      </w:r>
      <w:r>
        <w:t xml:space="preserve"> </w:t>
      </w:r>
      <w:r>
        <w:t xml:space="preserve">etc.) in the MSA per-deal. ✅ as a posture.</w:t>
      </w:r>
    </w:p>
    <w:p>
      <w:r>
        <w:pict>
          <v:rect style="width:0;height:1.5pt" o:hralign="center" o:hrstd="t" o:hr="t"/>
        </w:pict>
      </w:r>
    </w:p>
    <w:bookmarkEnd w:id="23"/>
    <w:bookmarkStart w:id="26" w:name="k.-common-follow-ups-banks-always-ask"/>
    <w:p>
      <w:pPr>
        <w:pStyle w:val="Heading2"/>
      </w:pPr>
      <w:r>
        <w:t xml:space="preserve">K. Common follow-ups (banks always ask)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“Do you have a SIG Core (1,500+ questions) version of this?”</w:t>
      </w:r>
      <w:r>
        <w:t xml:space="preserve"> </w:t>
      </w:r>
      <w:r>
        <w:t xml:space="preserve">Not pre-filled. Once a bank confirms they require the full SIG, we</w:t>
      </w:r>
      <w:r>
        <w:t xml:space="preserve"> </w:t>
      </w:r>
      <w:r>
        <w:t xml:space="preserve">fill in 4–6 days; price the engagement.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“What’s your bug-bounty / vulnerability-disclosure program?”</w:t>
      </w:r>
      <w:r>
        <w:t xml:space="preserve"> </w:t>
      </w:r>
      <w:r>
        <w:t xml:space="preserve">Email</w:t>
      </w:r>
      <w:r>
        <w:t xml:space="preserve"> </w:t>
      </w:r>
      <w:r>
        <w:rPr>
          <w:rStyle w:val="VerbatimChar"/>
        </w:rPr>
        <w:t xml:space="preserve">security@kilter.com</w:t>
      </w:r>
      <w:r>
        <w:t xml:space="preserve">, coordinated disclosure. No bounty $$</w:t>
      </w:r>
      <w:r>
        <w:t xml:space="preserve"> </w:t>
      </w:r>
      <w:r>
        <w:t xml:space="preserve">during pilot; will introduce one after the first paid customer.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“Can you fill out our internal vendor-risk questionnaire?”</w:t>
      </w:r>
      <w:r>
        <w:t xml:space="preserve"> </w:t>
      </w:r>
      <w:r>
        <w:t xml:space="preserve">Yes — we use this FAQ as the source of truth. Allow 5 business</w:t>
      </w:r>
      <w:r>
        <w:t xml:space="preserve"> </w:t>
      </w:r>
      <w:r>
        <w:t xml:space="preserve">days for first turnaround; subsequent revisions usually 1–2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“Will you sign our standard MSA / DPA?”</w:t>
      </w:r>
      <w:r>
        <w:t xml:space="preserve"> </w:t>
      </w:r>
      <w:r>
        <w:t xml:space="preserve">Yes, with redlines. Our</w:t>
      </w:r>
      <w:r>
        <w:t xml:space="preserve"> </w:t>
      </w:r>
      <w:hyperlink r:id="rId24">
        <w:r>
          <w:rPr>
            <w:rStyle w:val="Hyperlink"/>
          </w:rPr>
          <w:t xml:space="preserve">MSA</w:t>
        </w:r>
      </w:hyperlink>
      <w:r>
        <w:t xml:space="preserve"> </w:t>
      </w:r>
      <w:r>
        <w:t xml:space="preserve">and</w:t>
      </w:r>
      <w:r>
        <w:t xml:space="preserve"> </w:t>
      </w:r>
      <w:hyperlink r:id="rId9">
        <w:r>
          <w:rPr>
            <w:rStyle w:val="Hyperlink"/>
          </w:rPr>
          <w:t xml:space="preserve">DPA</w:t>
        </w:r>
      </w:hyperlink>
      <w:r>
        <w:t xml:space="preserve"> </w:t>
      </w:r>
      <w:r>
        <w:t xml:space="preserve">are starting points; we expect bank-side</w:t>
      </w:r>
      <w:r>
        <w:t xml:space="preserve"> </w:t>
      </w:r>
      <w:r>
        <w:t xml:space="preserve">redlines and engage in good faith.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“What’s the worst-case outcome if your container is compromised?”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THREAT_MODEL.md</w:t>
        </w:r>
      </w:hyperlink>
      <w:r>
        <w:t xml:space="preserve">, particularly the</w:t>
      </w:r>
      <w:r>
        <w:t xml:space="preserve"> </w:t>
      </w:r>
      <w:r>
        <w:t xml:space="preserve">“Known</w:t>
      </w:r>
      <w:r>
        <w:t xml:space="preserve"> </w:t>
      </w:r>
      <w:r>
        <w:t xml:space="preserve">residual risks (accepted)”</w:t>
      </w:r>
      <w:r>
        <w:t xml:space="preserve"> </w:t>
      </w:r>
      <w:r>
        <w:t xml:space="preserve">section. The largest accepted risk is</w:t>
      </w:r>
      <w:r>
        <w:t xml:space="preserve"> </w:t>
      </w:r>
      <w:r>
        <w:t xml:space="preserve">audit-log tamper after container shell-access; compensated by SIEM</w:t>
      </w:r>
      <w:r>
        <w:t xml:space="preserve"> </w:t>
      </w:r>
      <w:r>
        <w:t xml:space="preserve">shipping.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../docs/DEPLOY.md" TargetMode="External" /><Relationship Type="http://schemas.openxmlformats.org/officeDocument/2006/relationships/hyperlink" Id="rId14" Target="../docs/OPERATOR_NOTES.md" TargetMode="External" /><Relationship Type="http://schemas.openxmlformats.org/officeDocument/2006/relationships/hyperlink" Id="rId24" Target="../legal/02_msa.md" TargetMode="External" /><Relationship Type="http://schemas.openxmlformats.org/officeDocument/2006/relationships/hyperlink" Id="rId9" Target="../legal/04_dpa.md" TargetMode="External" /><Relationship Type="http://schemas.openxmlformats.org/officeDocument/2006/relationships/hyperlink" Id="rId12" Target="ARCHITECTURE.md" TargetMode="External" /><Relationship Type="http://schemas.openxmlformats.org/officeDocument/2006/relationships/hyperlink" Id="rId16" Target="PENTEST_SUMMARY.md" TargetMode="External" /><Relationship Type="http://schemas.openxmlformats.org/officeDocument/2006/relationships/hyperlink" Id="rId25" Target="THREAT_MOD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docs/DEPLOY.md" TargetMode="External" /><Relationship Type="http://schemas.openxmlformats.org/officeDocument/2006/relationships/hyperlink" Id="rId14" Target="../docs/OPERATOR_NOTES.md" TargetMode="External" /><Relationship Type="http://schemas.openxmlformats.org/officeDocument/2006/relationships/hyperlink" Id="rId24" Target="../legal/02_msa.md" TargetMode="External" /><Relationship Type="http://schemas.openxmlformats.org/officeDocument/2006/relationships/hyperlink" Id="rId9" Target="../legal/04_dpa.md" TargetMode="External" /><Relationship Type="http://schemas.openxmlformats.org/officeDocument/2006/relationships/hyperlink" Id="rId12" Target="ARCHITECTURE.md" TargetMode="External" /><Relationship Type="http://schemas.openxmlformats.org/officeDocument/2006/relationships/hyperlink" Id="rId16" Target="PENTEST_SUMMARY.md" TargetMode="External" /><Relationship Type="http://schemas.openxmlformats.org/officeDocument/2006/relationships/hyperlink" Id="rId25" Target="THREAT_MOD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2026-04-26T08:06:04Z</dcterms:created>
  <dcterms:modified xsi:type="dcterms:W3CDTF">2026-04-26T08:06:04Z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