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reat-model-kilter"/>
    <w:p>
      <w:pPr>
        <w:pStyle w:val="Heading1"/>
      </w:pPr>
      <w:r>
        <w:t xml:space="preserve">Threat Model — Kilter</w:t>
      </w:r>
    </w:p>
    <w:p>
      <w:pPr>
        <w:pStyle w:val="FirstParagraph"/>
      </w:pPr>
      <w:r>
        <w:t xml:space="preserve">STRIDE-style. Tight rather than exhaustive — covers what an attacker</w:t>
      </w:r>
      <w:r>
        <w:t xml:space="preserve"> </w:t>
      </w:r>
      <w:r>
        <w:t xml:space="preserve">realistically tries against an internal financial-operations app, and</w:t>
      </w:r>
      <w:r>
        <w:t xml:space="preserve"> </w:t>
      </w:r>
      <w:r>
        <w:t xml:space="preserve">what’s in the way of each. Re-review after every external pentest.</w:t>
      </w:r>
    </w:p>
    <w:p>
      <w:r>
        <w:pict>
          <v:rect style="width:0;height:1.5pt" o:hralign="center" o:hrstd="t" o:hr="t"/>
        </w:pict>
      </w:r>
    </w:p>
    <w:bookmarkStart w:id="9" w:name="assets"/>
    <w:p>
      <w:pPr>
        <w:pStyle w:val="Heading2"/>
      </w:pPr>
      <w:r>
        <w:t xml:space="preserve">Assets</w:t>
      </w:r>
    </w:p>
    <w:p>
      <w:pPr>
        <w:pStyle w:val="FirstParagraph"/>
      </w:pPr>
      <w:r>
        <w:t xml:space="preserve">In rough order of value to an attacker: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Reconciliation decisions and signed certificates</w:t>
      </w:r>
      <w:r>
        <w:t xml:space="preserve"> </w:t>
      </w:r>
      <w:r>
        <w:t xml:space="preserve">— falsifying</w:t>
      </w:r>
      <w:r>
        <w:t xml:space="preserve"> </w:t>
      </w:r>
      <w:r>
        <w:t xml:space="preserve">one creates a window to cover up a real-money discrepancy.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TOTP secrets and (where LDAP is enabled) the ability to log in</w:t>
      </w:r>
      <w:r>
        <w:rPr>
          <w:b/>
          <w:bCs/>
        </w:rPr>
        <w:t xml:space="preserve"> </w:t>
      </w:r>
      <w:r>
        <w:rPr>
          <w:b/>
          <w:bCs/>
        </w:rPr>
        <w:t xml:space="preserve">as a privileged user.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log integrity</w:t>
      </w:r>
      <w:r>
        <w:t xml:space="preserve"> </w:t>
      </w:r>
      <w:r>
        <w:t xml:space="preserve">— a tampered log lets all of the above</w:t>
      </w:r>
      <w:r>
        <w:t xml:space="preserve"> </w:t>
      </w:r>
      <w:r>
        <w:t xml:space="preserve">go undetected.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Account-level reconciliation data</w:t>
      </w:r>
      <w:r>
        <w:t xml:space="preserve"> </w:t>
      </w:r>
      <w:r>
        <w:t xml:space="preserve">— counterparty names,</w:t>
      </w:r>
      <w:r>
        <w:t xml:space="preserve"> </w:t>
      </w:r>
      <w:r>
        <w:t xml:space="preserve">transaction narratives, account numbers. Sensitive but not the</w:t>
      </w:r>
      <w:r>
        <w:t xml:space="preserve"> </w:t>
      </w:r>
      <w:r>
        <w:t xml:space="preserve">primary target.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availability</w:t>
      </w:r>
      <w:r>
        <w:t xml:space="preserve"> </w:t>
      </w:r>
      <w:r>
        <w:t xml:space="preserve">— DoS denying month-end sign-off.</w:t>
      </w:r>
    </w:p>
    <w:bookmarkEnd w:id="9"/>
    <w:bookmarkStart w:id="10" w:name="trust-boundaries"/>
    <w:p>
      <w:pPr>
        <w:pStyle w:val="Heading2"/>
      </w:pPr>
      <w:r>
        <w:t xml:space="preserve">Trust boundaries</w:t>
      </w:r>
    </w:p>
    <w:p>
      <w:pPr>
        <w:pStyle w:val="Compact"/>
        <w:numPr>
          <w:ilvl w:val="0"/>
          <w:numId w:val="1002"/>
        </w:numPr>
      </w:pPr>
      <w:r>
        <w:t xml:space="preserve">Internet ↔ bank network (out of scope; bank-owned).</w:t>
      </w:r>
    </w:p>
    <w:p>
      <w:pPr>
        <w:pStyle w:val="Compact"/>
        <w:numPr>
          <w:ilvl w:val="0"/>
          <w:numId w:val="1002"/>
        </w:numPr>
      </w:pPr>
      <w:r>
        <w:t xml:space="preserve">Authenticated browser ↔ Kilter HTTP surface (the primary surface).</w:t>
      </w:r>
    </w:p>
    <w:p>
      <w:pPr>
        <w:pStyle w:val="Compact"/>
        <w:numPr>
          <w:ilvl w:val="0"/>
          <w:numId w:val="1002"/>
        </w:numPr>
      </w:pPr>
      <w:r>
        <w:t xml:space="preserve">Kilter container ↔ Active Directory.</w:t>
      </w:r>
    </w:p>
    <w:p>
      <w:pPr>
        <w:pStyle w:val="Compact"/>
        <w:numPr>
          <w:ilvl w:val="0"/>
          <w:numId w:val="1002"/>
        </w:numPr>
      </w:pPr>
      <w:r>
        <w:t xml:space="preserve">Kilter container ↔ persistent volumes.</w:t>
      </w:r>
    </w:p>
    <w:p>
      <w:pPr>
        <w:pStyle w:val="Compact"/>
        <w:numPr>
          <w:ilvl w:val="0"/>
          <w:numId w:val="1002"/>
        </w:numPr>
      </w:pPr>
      <w:r>
        <w:t xml:space="preserve">Operator console (host shell) ↔ Kilter container.</w:t>
      </w:r>
    </w:p>
    <w:bookmarkEnd w:id="10"/>
    <w:bookmarkStart w:id="17" w:name="threats-and-mitigations"/>
    <w:p>
      <w:pPr>
        <w:pStyle w:val="Heading2"/>
      </w:pPr>
      <w:r>
        <w:t xml:space="preserve">Threats and mitigations</w:t>
      </w:r>
    </w:p>
    <w:bookmarkStart w:id="11" w:name="spoofing"/>
    <w:p>
      <w:pPr>
        <w:pStyle w:val="Heading3"/>
      </w:pPr>
      <w:r>
        <w:t xml:space="preserve">Spoofing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Attacker steals an operator’s TOTP code (e.g., shoulder-surfing the laptop)</w:t>
            </w:r>
          </w:p>
        </w:tc>
        <w:tc>
          <w:tcPr/>
          <w:p>
            <w:pPr>
              <w:pStyle w:val="Compact"/>
            </w:pPr>
            <w:r>
              <w:t xml:space="preserve">TOTP codes valid for ±30 s; idle session timeout 30 min so a stolen code only opens a short window; rate limit on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(10/min/IP)</w:t>
            </w:r>
          </w:p>
        </w:tc>
        <w:tc>
          <w:tcPr/>
          <w:p>
            <w:pPr>
              <w:pStyle w:val="Compact"/>
            </w:pPr>
            <w:r>
              <w:t xml:space="preserve">Low — assumes no real-time relay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Attacker steals an operator’s session token (XSS, malicious browser extension)</w:t>
            </w:r>
          </w:p>
        </w:tc>
        <w:tc>
          <w:tcPr/>
          <w:p>
            <w:pPr>
              <w:pStyle w:val="Compact"/>
            </w:pPr>
            <w:r>
              <w:t xml:space="preserve">CSP</w:t>
            </w:r>
            <w:r>
              <w:t xml:space="preserve"> </w:t>
            </w:r>
            <w:r>
              <w:rPr>
                <w:rStyle w:val="VerbatimChar"/>
              </w:rPr>
              <w:t xml:space="preserve">default-src 'self'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X-Frame-Options: DENY</w:t>
            </w:r>
            <w:r>
              <w:t xml:space="preserve">; HSTS; tokens never persisted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of cross-origin pages</w:t>
            </w:r>
          </w:p>
        </w:tc>
        <w:tc>
          <w:tcPr/>
          <w:p>
            <w:pPr>
              <w:pStyle w:val="Compact"/>
            </w:pPr>
            <w:r>
              <w:t xml:space="preserve">Medium — XSS would still be game-over within one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Attacker poisons the LDAP search filter via crafted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escape_filter_chars</w:t>
            </w:r>
            <w:r>
              <w:t xml:space="preserve"> </w:t>
            </w:r>
            <w:r>
              <w:t xml:space="preserve">from ldap3 applied; multi-match search rejected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Attacker spoofs an admin during the bootstrap-enrollment window</w:t>
            </w:r>
          </w:p>
        </w:tc>
        <w:tc>
          <w:tcPr/>
          <w:p>
            <w:pPr>
              <w:pStyle w:val="Compact"/>
            </w:pPr>
            <w:r>
              <w:t xml:space="preserve">Enrollment token is a 16-byte URL-safe random; one-time-use; cleared on completion</w:t>
            </w:r>
          </w:p>
        </w:tc>
        <w:tc>
          <w:tcPr/>
          <w:p>
            <w:pPr>
              <w:pStyle w:val="Compact"/>
            </w:pPr>
            <w:r>
              <w:t xml:space="preserve">Low — assumes secure delivery of the link</w:t>
            </w:r>
          </w:p>
        </w:tc>
      </w:tr>
    </w:tbl>
    <w:bookmarkEnd w:id="11"/>
    <w:bookmarkStart w:id="12" w:name="tampering"/>
    <w:p>
      <w:pPr>
        <w:pStyle w:val="Heading3"/>
      </w:pPr>
      <w:r>
        <w:t xml:space="preserve">Tampering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Modify a signed reconciliation certificate after the 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status='signed'</w:t>
            </w:r>
            <w:r>
              <w:t xml:space="preserve"> </w:t>
            </w:r>
            <w:r>
              <w:t xml:space="preserve">is a guard in every transition;</w:t>
            </w:r>
            <w:r>
              <w:t xml:space="preserve"> </w:t>
            </w:r>
            <w:r>
              <w:rPr>
                <w:rStyle w:val="VerbatimChar"/>
              </w:rPr>
              <w:t xml:space="preserve">snapshot_json</w:t>
            </w:r>
            <w:r>
              <w:t xml:space="preserve"> </w:t>
            </w:r>
            <w:r>
              <w:t xml:space="preserve">freezes the figures; audit_log records the signing event</w:t>
            </w:r>
          </w:p>
        </w:tc>
        <w:tc>
          <w:tcPr/>
          <w:p>
            <w:pPr>
              <w:pStyle w:val="Compact"/>
            </w:pPr>
            <w:r>
              <w:t xml:space="preserve">Low — relies on integrity of the DB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Modify a confirmed match decision to cover a break</w:t>
            </w:r>
          </w:p>
        </w:tc>
        <w:tc>
          <w:tcPr/>
          <w:p>
            <w:pPr>
              <w:pStyle w:val="Compact"/>
            </w:pPr>
            <w:r>
              <w:t xml:space="preserve">Decisions append to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; the matching row in the candidate table records actor, action, timestamp; no API path overwrites a confirmed decision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Modify the audit log itself</w:t>
            </w:r>
          </w:p>
        </w:tc>
        <w:tc>
          <w:tcPr/>
          <w:p>
            <w:pPr>
              <w:pStyle w:val="Compact"/>
            </w:pPr>
            <w:r>
              <w:t xml:space="preserve">Audit log is a regular SQLite table with no UI write path; an attacker with shell access to the container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modify it</w:t>
            </w:r>
          </w:p>
        </w:tc>
        <w:tc>
          <w:tcPr/>
          <w:p>
            <w:pPr>
              <w:pStyle w:val="Compact"/>
            </w:pPr>
            <w:r>
              <w:t xml:space="preserve">High if shell access is achieved — partly compensated by SIEM shipping (logs leave the host as soon as they’re written)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Substitute the Fernet key in transit between secret store and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KILTER_SECRET_KEY</w:t>
            </w:r>
            <w:r>
              <w:t xml:space="preserve"> </w:t>
            </w:r>
            <w:r>
              <w:t xml:space="preserve">env var is delivered through the customer’s secret-manager mechanism; we don’t own this trust chain</w:t>
            </w:r>
          </w:p>
        </w:tc>
        <w:tc>
          <w:tcPr/>
          <w:p>
            <w:pPr>
              <w:pStyle w:val="Compact"/>
            </w:pPr>
            <w:r>
              <w:t xml:space="preserve">Customer-side</w:t>
            </w:r>
          </w:p>
        </w:tc>
      </w:tr>
    </w:tbl>
    <w:bookmarkEnd w:id="12"/>
    <w:bookmarkStart w:id="13" w:name="repudiation"/>
    <w:p>
      <w:pPr>
        <w:pStyle w:val="Heading3"/>
      </w:pPr>
      <w:r>
        <w:t xml:space="preserve">Repudiation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Operator denies signing a certificate they signed</w:t>
            </w:r>
          </w:p>
        </w:tc>
        <w:tc>
          <w:tcPr/>
          <w:p>
            <w:pPr>
              <w:pStyle w:val="Compact"/>
            </w:pPr>
            <w:r>
              <w:t xml:space="preserve">Audit log + SQL record + four-eyes flow (prepare/review/sign on different roles)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Operator denies a failed login attempt that triggered a security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audit_log.action = 'login_failed'</w:t>
            </w:r>
            <w:r>
              <w:t xml:space="preserve"> </w:t>
            </w:r>
            <w:r>
              <w:t xml:space="preserve">rows carry the timestamp and the user-agent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3"/>
    <w:bookmarkStart w:id="14" w:name="information-disclosure"/>
    <w:p>
      <w:pPr>
        <w:pStyle w:val="Heading3"/>
      </w:pPr>
      <w:r>
        <w:t xml:space="preserve">Information disclosure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TOTP secret leaks from the database</w:t>
            </w:r>
          </w:p>
        </w:tc>
        <w:tc>
          <w:tcPr/>
          <w:p>
            <w:pPr>
              <w:pStyle w:val="Compact"/>
            </w:pPr>
            <w:r>
              <w:t xml:space="preserve">Encryption at rest with Fernet; key held outside the DB file;</w:t>
            </w:r>
            <w:r>
              <w:t xml:space="preserve"> </w:t>
            </w:r>
            <w:r>
              <w:rPr>
                <w:rStyle w:val="VerbatimChar"/>
              </w:rPr>
              <w:t xml:space="preserve">is_encrypted</w:t>
            </w:r>
            <w:r>
              <w:t xml:space="preserve"> </w:t>
            </w:r>
            <w:r>
              <w:t xml:space="preserve">flag for migration tracking</w:t>
            </w:r>
          </w:p>
        </w:tc>
        <w:tc>
          <w:tcPr/>
          <w:p>
            <w:pPr>
              <w:pStyle w:val="Compact"/>
            </w:pPr>
            <w:r>
              <w:t xml:space="preserve">Medium if both DB volume and</w:t>
            </w:r>
            <w:r>
              <w:t xml:space="preserve"> </w:t>
            </w:r>
            <w:r>
              <w:rPr>
                <w:rStyle w:val="VerbatimChar"/>
              </w:rPr>
              <w:t xml:space="preserve">KILTER_SECRET_KEY</w:t>
            </w:r>
            <w:r>
              <w:t xml:space="preserve"> </w:t>
            </w:r>
            <w:r>
              <w:t xml:space="preserve">leak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TOTP secret leaks via the enrollment flow</w:t>
            </w:r>
          </w:p>
        </w:tc>
        <w:tc>
          <w:tcPr/>
          <w:p>
            <w:pPr>
              <w:pStyle w:val="Compact"/>
            </w:pPr>
            <w:r>
              <w:t xml:space="preserve">Server-side keying — secret never re-sent to the client after</w:t>
            </w:r>
            <w:r>
              <w:t xml:space="preserve"> </w:t>
            </w:r>
            <w:r>
              <w:rPr>
                <w:rStyle w:val="VerbatimChar"/>
              </w:rPr>
              <w:t xml:space="preserve">/enroll/start</w:t>
            </w:r>
            <w:r>
              <w:t xml:space="preserve">; manual-entry key shown for typing only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t xml:space="preserve">A user reads another user’s reconciliation data</w:t>
            </w:r>
          </w:p>
        </w:tc>
        <w:tc>
          <w:tcPr/>
          <w:p>
            <w:pPr>
              <w:pStyle w:val="Compact"/>
            </w:pPr>
            <w:r>
              <w:t xml:space="preserve">Per-user access-area scope enforced on list endpoints (</w:t>
            </w:r>
            <w:r>
              <w:rPr>
                <w:rStyle w:val="VerbatimChar"/>
              </w:rPr>
              <w:t xml:space="preserve">active_scope</w:t>
            </w:r>
            <w:r>
              <w:t xml:space="preserve">) and resource endpoints (</w:t>
            </w:r>
            <w:r>
              <w:rPr>
                <w:rStyle w:val="VerbatimChar"/>
              </w:rPr>
              <w:t xml:space="preserve">_assert_account_in_scope</w:t>
            </w:r>
            <w:r>
              <w:t xml:space="preserve">); admin-style</w:t>
            </w:r>
            <w:r>
              <w:t xml:space="preserve"> </w:t>
            </w:r>
            <w:r>
              <w:t xml:space="preserve">“no scope”</w:t>
            </w:r>
            <w:r>
              <w:t xml:space="preserve"> </w:t>
            </w:r>
            <w:r>
              <w:t xml:space="preserve">requires the admin role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t xml:space="preserve">API docs (</w:t>
            </w:r>
            <w:r>
              <w:rPr>
                <w:rStyle w:val="VerbatimChar"/>
              </w:rPr>
              <w:t xml:space="preserve">/docs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/openapi.json</w:t>
            </w:r>
            <w:r>
              <w:t xml:space="preserve">) reveal endpoint surface</w:t>
            </w:r>
          </w:p>
        </w:tc>
        <w:tc>
          <w:tcPr/>
          <w:p>
            <w:pPr>
              <w:pStyle w:val="Compact"/>
            </w:pPr>
            <w:r>
              <w:t xml:space="preserve">Disabled in production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t xml:space="preserve">Stack traces or DB errors leak in responses</w:t>
            </w:r>
          </w:p>
        </w:tc>
        <w:tc>
          <w:tcPr/>
          <w:p>
            <w:pPr>
              <w:pStyle w:val="Compact"/>
            </w:pPr>
            <w:r>
              <w:t xml:space="preserve">Global exception handler returns generic 500; SQLite errors specifically intercepted before propagation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I6</w:t>
            </w:r>
          </w:p>
        </w:tc>
        <w:tc>
          <w:tcPr/>
          <w:p>
            <w:pPr>
              <w:pStyle w:val="Compact"/>
            </w:pPr>
            <w:r>
              <w:t xml:space="preserve">Login response distinguishes</w:t>
            </w:r>
            <w:r>
              <w:t xml:space="preserve"> </w:t>
            </w:r>
            <w:r>
              <w:t xml:space="preserve">“wrong password”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“wrong TOTP”</w:t>
            </w:r>
          </w:p>
        </w:tc>
        <w:tc>
          <w:tcPr/>
          <w:p>
            <w:pPr>
              <w:pStyle w:val="Compact"/>
            </w:pPr>
            <w:r>
              <w:t xml:space="preserve">All login failures return the same generic 401; audit log records the actual reason internally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4"/>
    <w:bookmarkStart w:id="15" w:name="denial-of-service"/>
    <w:p>
      <w:pPr>
        <w:pStyle w:val="Heading3"/>
      </w:pPr>
      <w:r>
        <w:t xml:space="preserve">Denial of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Brute-force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slowapi</w:t>
            </w:r>
            <w:r>
              <w:t xml:space="preserve"> </w:t>
            </w:r>
            <w:r>
              <w:t xml:space="preserve">rate limit at 10/min/IP;</w:t>
            </w:r>
            <w:r>
              <w:t xml:space="preserve"> </w:t>
            </w:r>
            <w:r>
              <w:rPr>
                <w:rStyle w:val="VerbatimChar"/>
              </w:rPr>
              <w:t xml:space="preserve">RateLimitExceeded</w:t>
            </w:r>
            <w:r>
              <w:t xml:space="preserve"> </w:t>
            </w:r>
            <w:r>
              <w:t xml:space="preserve">returns 429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Oversized upload exhausts disk</w:t>
            </w:r>
          </w:p>
        </w:tc>
        <w:tc>
          <w:tcPr/>
          <w:p>
            <w:pPr>
              <w:pStyle w:val="Compact"/>
            </w:pPr>
            <w:r>
              <w:t xml:space="preserve">50 MB request-body cap in middleware; reverse-proxy</w:t>
            </w:r>
            <w:r>
              <w:t xml:space="preserve"> </w:t>
            </w:r>
            <w:r>
              <w:rPr>
                <w:rStyle w:val="VerbatimChar"/>
              </w:rPr>
              <w:t xml:space="preserve">client_max_body_size</w:t>
            </w:r>
            <w:r>
              <w:t xml:space="preserve"> </w:t>
            </w: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Slowloris-style request</w:t>
            </w:r>
          </w:p>
        </w:tc>
        <w:tc>
          <w:tcPr/>
          <w:p>
            <w:pPr>
              <w:pStyle w:val="Compact"/>
            </w:pPr>
            <w:r>
              <w:t xml:space="preserve">Reverse proxy is the customer’s responsibility; documented in DEPLOY.md</w:t>
            </w:r>
          </w:p>
        </w:tc>
        <w:tc>
          <w:tcPr/>
          <w:p>
            <w:pPr>
              <w:pStyle w:val="Compact"/>
            </w:pPr>
            <w:r>
              <w:t xml:space="preserve">Customer-side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Long-running parser ties up the worker</w:t>
            </w:r>
          </w:p>
        </w:tc>
        <w:tc>
          <w:tcPr/>
          <w:p>
            <w:pPr>
              <w:pStyle w:val="Compact"/>
            </w:pPr>
            <w:r>
              <w:t xml:space="preserve">Single-tenant scale; healthcheck with restart-on-failure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Disk-fill via stdout log spam</w:t>
            </w:r>
          </w:p>
        </w:tc>
        <w:tc>
          <w:tcPr/>
          <w:p>
            <w:pPr>
              <w:pStyle w:val="Compact"/>
            </w:pPr>
            <w:r>
              <w:t xml:space="preserve">Docker json-file driver caps at 10 MB × 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5"/>
    <w:bookmarkStart w:id="16" w:name="elevation-of-privilege"/>
    <w:p>
      <w:pPr>
        <w:pStyle w:val="Heading3"/>
      </w:pPr>
      <w:r>
        <w:t xml:space="preserve">Elevation of privilege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Ops user signs a certificate (should be admin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require_role('admin')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/certificates/{id}/sign</w:t>
            </w:r>
            <w:r>
              <w:t xml:space="preserve">; same for prepare/review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User in scope</w:t>
            </w:r>
            <w:r>
              <w:t xml:space="preserve"> </w:t>
            </w:r>
            <w:r>
              <w:t xml:space="preserve">“EU”</w:t>
            </w:r>
            <w:r>
              <w:t xml:space="preserve"> </w:t>
            </w:r>
            <w:r>
              <w:t xml:space="preserve">reads accounts in scope</w:t>
            </w:r>
            <w:r>
              <w:t xml:space="preserve"> </w:t>
            </w:r>
            <w:r>
              <w:t xml:space="preserve">“US”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active_scope</w:t>
            </w:r>
            <w:r>
              <w:t xml:space="preserve"> </w:t>
            </w:r>
            <w:r>
              <w:t xml:space="preserve">list drives</w:t>
            </w:r>
            <w:r>
              <w:t xml:space="preserve"> </w:t>
            </w:r>
            <w:r>
              <w:rPr>
                <w:rStyle w:val="VerbatimChar"/>
              </w:rPr>
              <w:t xml:space="preserve">_scope_clause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_assert_account_in_scope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Admin demotes themselves accidentally and can’t recover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update_user</w:t>
            </w:r>
            <w:r>
              <w:t xml:space="preserve"> </w:t>
            </w:r>
            <w:r>
              <w:t xml:space="preserve">refuses self-demote and self-deactivate; emergency CLI in OPERATOR_NOTES.md to re-promote via SQL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Container break-out (kernel exploit)</w:t>
            </w:r>
          </w:p>
        </w:tc>
        <w:tc>
          <w:tcPr/>
          <w:p>
            <w:pPr>
              <w:pStyle w:val="Compact"/>
            </w:pPr>
            <w:r>
              <w:t xml:space="preserve">Drop-all-caps,</w:t>
            </w:r>
            <w:r>
              <w:t xml:space="preserve"> </w:t>
            </w:r>
            <w:r>
              <w:rPr>
                <w:rStyle w:val="VerbatimChar"/>
              </w:rPr>
              <w:t xml:space="preserve">no-new-privileges</w:t>
            </w:r>
            <w:r>
              <w:t xml:space="preserve">, read-only rootfs, non-root UID — full kernel exploit is in scope but expensive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An admin moves themselves to LDAP before LDAP is configured, bricks the whole system</w:t>
            </w:r>
          </w:p>
        </w:tc>
        <w:tc>
          <w:tcPr/>
          <w:p>
            <w:pPr>
              <w:pStyle w:val="Compact"/>
            </w:pPr>
            <w:r>
              <w:t xml:space="preserve">Self-flip lockout guard requires</w:t>
            </w:r>
            <w:r>
              <w:t xml:space="preserve"> </w:t>
            </w:r>
            <w:r>
              <w:rPr>
                <w:rStyle w:val="VerbatimChar"/>
              </w:rPr>
              <w:t xml:space="preserve">KILTER_LDAP_URL</w:t>
            </w:r>
            <w:r>
              <w:t xml:space="preserve"> </w:t>
            </w:r>
            <w:r>
              <w:t xml:space="preserve">to be set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6"/>
    <w:bookmarkEnd w:id="17"/>
    <w:bookmarkStart w:id="18" w:name="assumptions"/>
    <w:p>
      <w:pPr>
        <w:pStyle w:val="Heading2"/>
      </w:pPr>
      <w:r>
        <w:t xml:space="preserve">Assumptions</w:t>
      </w:r>
    </w:p>
    <w:p>
      <w:pPr>
        <w:pStyle w:val="FirstParagraph"/>
      </w:pPr>
      <w:r>
        <w:t xml:space="preserve">If any of these break, the model needs re-review:</w:t>
      </w:r>
    </w:p>
    <w:p>
      <w:pPr>
        <w:pStyle w:val="Compact"/>
        <w:numPr>
          <w:ilvl w:val="0"/>
          <w:numId w:val="1003"/>
        </w:numPr>
      </w:pPr>
      <w:r>
        <w:t xml:space="preserve">The reverse proxy in front of Kilter handles TLS correctly and</w:t>
      </w:r>
      <w:r>
        <w:t xml:space="preserve"> </w:t>
      </w:r>
      <w:r>
        <w:t xml:space="preserve">doesn’t strip or duplicate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customer’s AD enforces a non-trivial password policy (length,</w:t>
      </w:r>
      <w:r>
        <w:t xml:space="preserve"> </w:t>
      </w:r>
      <w:r>
        <w:t xml:space="preserve">rotation, lockout).</w:t>
      </w:r>
    </w:p>
    <w:p>
      <w:pPr>
        <w:pStyle w:val="Compact"/>
        <w:numPr>
          <w:ilvl w:val="0"/>
          <w:numId w:val="1003"/>
        </w:numPr>
      </w:pPr>
      <w:r>
        <w:t xml:space="preserve">The encryption key is stored in a secret manager or env var, not</w:t>
      </w:r>
      <w:r>
        <w:t xml:space="preserve"> </w:t>
      </w:r>
      <w:r>
        <w:t xml:space="preserve">on the same volume as the DB.</w:t>
      </w:r>
    </w:p>
    <w:p>
      <w:pPr>
        <w:pStyle w:val="Compact"/>
        <w:numPr>
          <w:ilvl w:val="0"/>
          <w:numId w:val="1003"/>
        </w:numPr>
      </w:pPr>
      <w:r>
        <w:t xml:space="preserve">The container host is patched on a reasonable cadence and not</w:t>
      </w:r>
      <w:r>
        <w:t xml:space="preserve"> </w:t>
      </w:r>
      <w:r>
        <w:t xml:space="preserve">shared with adversary-controlled workloads.</w:t>
      </w:r>
    </w:p>
    <w:p>
      <w:pPr>
        <w:pStyle w:val="Compact"/>
        <w:numPr>
          <w:ilvl w:val="0"/>
          <w:numId w:val="1003"/>
        </w:numPr>
      </w:pPr>
      <w:r>
        <w:t xml:space="preserve">Operators do not share credentials, and the bank’s SIEM ingests</w:t>
      </w:r>
      <w:r>
        <w:t xml:space="preserve"> </w:t>
      </w:r>
      <w:r>
        <w:t xml:space="preserve">the application stdout logs.</w:t>
      </w:r>
    </w:p>
    <w:bookmarkEnd w:id="18"/>
    <w:bookmarkStart w:id="20" w:name="known-residual-risks-accepted"/>
    <w:p>
      <w:pPr>
        <w:pStyle w:val="Heading2"/>
      </w:pPr>
      <w:r>
        <w:t xml:space="preserve">Known residual risks (accepted)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DB-file shell access ⇒ audit-log tamper.</w:t>
      </w:r>
      <w:r>
        <w:t xml:space="preserve"> </w:t>
      </w:r>
      <w:r>
        <w:t xml:space="preserve">A compromised admin or</w:t>
      </w:r>
      <w:r>
        <w:t xml:space="preserve"> </w:t>
      </w:r>
      <w:r>
        <w:t xml:space="preserve">container break-out can modify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rows directly. The</w:t>
      </w:r>
      <w:r>
        <w:t xml:space="preserve"> </w:t>
      </w:r>
      <w:r>
        <w:t xml:space="preserve">compensation is real-time SIEM shipping: by the time the row is in</w:t>
      </w:r>
      <w:r>
        <w:t xml:space="preserve"> </w:t>
      </w:r>
      <w:r>
        <w:t xml:space="preserve">Splunk/Elastic/Sentinel, tampering with the local DB doesn’t</w:t>
      </w:r>
      <w:r>
        <w:t xml:space="preserve"> </w:t>
      </w:r>
      <w:r>
        <w:t xml:space="preserve">re-write what the SIEM saw. Customers who need on-DB tamper-evidence</w:t>
      </w:r>
      <w:r>
        <w:t xml:space="preserve"> </w:t>
      </w:r>
      <w:r>
        <w:t xml:space="preserve">can mount the DB on append-only storage or run it through an</w:t>
      </w:r>
      <w:r>
        <w:t xml:space="preserve"> </w:t>
      </w:r>
      <w:r>
        <w:t xml:space="preserve">external write-ahead log shipping layer; out of scope for the pilot.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 Fernet key.</w:t>
      </w:r>
      <w:r>
        <w:t xml:space="preserve"> </w:t>
      </w:r>
      <w:r>
        <w:t xml:space="preserve">A single key encrypts every protected</w:t>
      </w:r>
      <w:r>
        <w:t xml:space="preserve"> </w:t>
      </w:r>
      <w:r>
        <w:t xml:space="preserve">column. Compromise ⇒ all secrets are readable. Compensations: key</w:t>
      </w:r>
      <w:r>
        <w:t xml:space="preserve"> </w:t>
      </w:r>
      <w:r>
        <w:t xml:space="preserve">is never on the same volume as the data, never in source, rotation</w:t>
      </w:r>
      <w:r>
        <w:t xml:space="preserve"> </w:t>
      </w:r>
      <w:r>
        <w:t xml:space="preserve">workflow exists (</w:t>
      </w:r>
      <w:r>
        <w:rPr>
          <w:rStyle w:val="VerbatimChar"/>
        </w:rPr>
        <w:t xml:space="preserve">secrets_vault.rotate_key</w:t>
      </w:r>
      <w:r>
        <w:t xml:space="preserve">). Multi-key envelope</w:t>
      </w:r>
      <w:r>
        <w:t xml:space="preserve"> </w:t>
      </w:r>
      <w:r>
        <w:t xml:space="preserve">encryption is on the post-pilot roadmap.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Self-pentest only at this stage.</w:t>
      </w:r>
      <w:r>
        <w:t xml:space="preserve"> </w:t>
      </w:r>
      <w:r>
        <w:t xml:space="preserve">A formal third-party</w:t>
      </w:r>
      <w:r>
        <w:t xml:space="preserve"> </w:t>
      </w:r>
      <w:r>
        <w:t xml:space="preserve">engagement is scheduled (see</w:t>
      </w:r>
      <w:r>
        <w:t xml:space="preserve"> </w:t>
      </w:r>
      <w:hyperlink r:id="rId19">
        <w:r>
          <w:rPr>
            <w:rStyle w:val="Hyperlink"/>
          </w:rPr>
          <w:t xml:space="preserve">PENTEST_SUMMARY.md</w:t>
        </w:r>
      </w:hyperlink>
      <w:r>
        <w:t xml:space="preserve">).</w:t>
      </w:r>
      <w:r>
        <w:t xml:space="preserve"> </w:t>
      </w:r>
      <w:r>
        <w:t xml:space="preserve">Until that closes out, claims here are best-effort, not attested.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PENTEST_SUMMA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PENTEST_SUMM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2026-04-26T08:06:04Z</dcterms:created>
  <dcterms:modified xsi:type="dcterms:W3CDTF">2026-04-26T08:06:04Z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