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04 Official Training Quote Template</w:t>
      </w:r>
    </w:p>
    <w:p>
      <w:pPr>
        <w:jc w:val="center"/>
      </w:pPr>
      <w:r>
        <w:rPr>
          <w:b/>
          <w:sz w:val="22"/>
        </w:rPr>
        <w:t>Pilot Training Quote</w:t>
      </w:r>
    </w:p>
    <w:p>
      <w:pPr>
        <w:jc w:val="center"/>
      </w:pPr>
      <w:r>
        <w:rPr>
          <w:i/>
        </w:rPr>
        <w:t>FlashCoding Inc. | Ontario, Canada | https://flashcoding.ca</w:t>
      </w:r>
    </w:p>
    <w:p/>
    <w:p>
      <w:pPr>
        <w:pStyle w:val="Heading2"/>
      </w:pPr>
      <w:r>
        <w:t>Quote Fields</w:t>
      </w:r>
    </w:p>
    <w:p>
      <w:r>
        <w:t>Quote number:</w:t>
        <w:br/>
        <w:t>Date:</w:t>
        <w:br/>
        <w:t>Employer:</w:t>
        <w:br/>
        <w:t>Course:</w:t>
        <w:br/>
        <w:t>Participants:</w:t>
        <w:br/>
        <w:t>Hours:</w:t>
        <w:br/>
        <w:t>Delivery method:</w:t>
      </w:r>
    </w:p>
    <w:p/>
    <w:p>
      <w:pPr>
        <w:pStyle w:val="Heading2"/>
      </w:pPr>
      <w:r>
        <w:t>Cost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520"/>
            <w:vAlign w:val="top"/>
          </w:tcPr>
          <w:p>
            <w:r>
              <w:t>Instructor-led workforce training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Training materials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Attendance/completion documentation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  <w:tr>
        <w:tc>
          <w:tcPr>
            <w:tcW w:type="dxa" w:w="2520"/>
            <w:vAlign w:val="top"/>
          </w:tcPr>
          <w:p>
            <w:r>
              <w:t>Optional follow-up session</w:t>
            </w:r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  <w:tc>
          <w:tcPr>
            <w:tcW w:type="dxa" w:w="2520"/>
            <w:vAlign w:val="top"/>
          </w:tcPr>
          <w:p>
            <w:r/>
          </w:p>
        </w:tc>
      </w:tr>
    </w:tbl>
    <w:p/>
    <w:p>
      <w:pPr>
        <w:pStyle w:val="Heading2"/>
      </w:pPr>
      <w:r>
        <w:t>Disclaimer</w:t>
      </w:r>
    </w:p>
    <w:p>
      <w:r>
        <w:t>FlashCoding does not guarantee government funding approval. Employer is responsible for confirming program requirements and approval timing.</w:t>
      </w:r>
    </w:p>
    <w:p/>
    <w:p>
      <w:r>
        <w:t>Prepared by / Authorized Representative: ________________________________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