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center"/>
      </w:pPr>
      <w:r>
        <w:t>03 Employer-Contracted Workforce Training Explanation</w:t>
      </w:r>
    </w:p>
    <w:p>
      <w:pPr>
        <w:jc w:val="center"/>
      </w:pPr>
      <w:r>
        <w:rPr>
          <w:b/>
          <w:sz w:val="22"/>
        </w:rPr>
        <w:t>Training Relationship and Payment Structure</w:t>
      </w:r>
    </w:p>
    <w:p>
      <w:pPr>
        <w:jc w:val="center"/>
      </w:pPr>
      <w:r>
        <w:rPr>
          <w:i/>
        </w:rPr>
        <w:t>FlashCoding Inc. | Ontario, Canada | https://flashcoding.ca</w:t>
      </w:r>
    </w:p>
    <w:p/>
    <w:p>
      <w:pPr>
        <w:pStyle w:val="Heading2"/>
      </w:pPr>
      <w:r>
        <w:t>Core Model</w:t>
      </w:r>
    </w:p>
    <w:p>
      <w:r>
        <w:t>FlashCoding’s model is B2B employer-contracted workforce training. The employer is the contracting party. Employees participate as workforce participants sponsored by their employer.</w:t>
      </w:r>
    </w:p>
    <w:p/>
    <w:p>
      <w:pPr>
        <w:pStyle w:val="Heading2"/>
      </w:pPr>
      <w:r>
        <w:t>Payment Relationship</w:t>
      </w:r>
    </w:p>
    <w:p>
      <w:r>
        <w:t>FlashCoding invoices the employer. FlashCoding does not collect tuition directly from individual workforce participants.</w:t>
      </w:r>
    </w:p>
    <w:p/>
    <w:p>
      <w:pPr>
        <w:pStyle w:val="Heading2"/>
      </w:pPr>
      <w:r>
        <w:t>Participant Status</w:t>
      </w:r>
    </w:p>
    <w:p>
      <w:r>
        <w:t>Participants attend as employees or workforce participants of the employer, not as public students enrolled in a vocational school.</w:t>
      </w:r>
    </w:p>
    <w:p/>
    <w:p>
      <w:pPr>
        <w:pStyle w:val="Heading2"/>
      </w:pPr>
      <w:r>
        <w:t>Training Purpose</w:t>
      </w:r>
    </w:p>
    <w:p>
      <w:pPr>
        <w:pStyle w:val="ListBullet"/>
      </w:pPr>
      <w:r>
        <w:t>Workforce productivity</w:t>
      </w:r>
    </w:p>
    <w:p>
      <w:pPr>
        <w:pStyle w:val="ListBullet"/>
      </w:pPr>
      <w:r>
        <w:t>Operational workflow understanding</w:t>
      </w:r>
    </w:p>
    <w:p>
      <w:pPr>
        <w:pStyle w:val="ListBullet"/>
      </w:pPr>
      <w:r>
        <w:t>AI-assisted communication</w:t>
      </w:r>
    </w:p>
    <w:p>
      <w:pPr>
        <w:pStyle w:val="ListBullet"/>
      </w:pPr>
      <w:r>
        <w:t>Reporting workflows</w:t>
      </w:r>
    </w:p>
    <w:p>
      <w:pPr>
        <w:pStyle w:val="ListBullet"/>
      </w:pPr>
      <w:r>
        <w:t>Digital workforce upskilling</w:t>
      </w:r>
    </w:p>
    <w:p/>
    <w:p>
      <w:r>
        <w:t>Prepared by / Authorized Representative: ________________________________</w:t>
      </w:r>
    </w:p>
    <w:p>
      <w:r>
        <w:t>Date: ____________________</w:t>
      </w:r>
    </w:p>
    <w:sectPr w:rsidR="00FC693F" w:rsidRPr="0006063C" w:rsidSect="00034616">
      <w:pgSz w:w="12240" w:h="15840"/>
      <w:pgMar w:top="1008" w:right="1080" w:bottom="1008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/>
      <w:b/>
      <w:bCs/>
      <w:color w:val="365F91" w:themeColor="accent1" w:themeShade="BF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rial" w:hAnsi="Arial"/>
      <w:b/>
      <w:bCs/>
      <w:color w:val="4F81BD" w:themeColor="accent1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