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 Compliance Statements</w:t>
      </w:r>
    </w:p>
    <w:p>
      <w:pPr>
        <w:jc w:val="center"/>
      </w:pPr>
      <w:r>
        <w:rPr>
          <w:b/>
          <w:sz w:val="22"/>
        </w:rPr>
        <w:t>Employer-Contracted Workforce Training Compliance Declarations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Statements</w:t>
      </w:r>
    </w:p>
    <w:p>
      <w:pPr>
        <w:pStyle w:val="ListBullet"/>
      </w:pPr>
      <w:r>
        <w:t>Training is employer-contracted</w:t>
      </w:r>
    </w:p>
    <w:p>
      <w:pPr>
        <w:pStyle w:val="ListBullet"/>
      </w:pPr>
      <w:r>
        <w:t>Participants are employer-sponsored employees</w:t>
      </w:r>
    </w:p>
    <w:p>
      <w:pPr>
        <w:pStyle w:val="ListBullet"/>
      </w:pPr>
      <w:r>
        <w:t>No public open enrollment</w:t>
      </w:r>
    </w:p>
    <w:p>
      <w:pPr>
        <w:pStyle w:val="ListBullet"/>
      </w:pPr>
      <w:r>
        <w:t>No individual student contracts</w:t>
      </w:r>
    </w:p>
    <w:p>
      <w:pPr>
        <w:pStyle w:val="ListBullet"/>
      </w:pPr>
      <w:r>
        <w:t>No direct tuition collection from participants</w:t>
      </w:r>
    </w:p>
    <w:p>
      <w:pPr>
        <w:pStyle w:val="ListBullet"/>
      </w:pPr>
      <w:r>
        <w:t>No diplomas, degrees, or accredited credentials</w:t>
      </w:r>
    </w:p>
    <w:p>
      <w:pPr>
        <w:pStyle w:val="ListBullet"/>
      </w:pPr>
      <w:r>
        <w:t>Training is not proprietary product onboarding</w:t>
      </w:r>
    </w:p>
    <w:p>
      <w:pPr>
        <w:pStyle w:val="ListBullet"/>
      </w:pPr>
      <w:r>
        <w:t>Training is not primarily business consulting</w:t>
      </w:r>
    </w:p>
    <w:p>
      <w:pPr>
        <w:pStyle w:val="ListBullet"/>
      </w:pPr>
      <w:r>
        <w:t>Responsible AI and privacy awareness are included</w:t>
      </w:r>
    </w:p>
    <w:p/>
    <w:p>
      <w:pPr>
        <w:pStyle w:val="Heading2"/>
      </w:pPr>
      <w:r>
        <w:t>Declaration</w:t>
      </w:r>
    </w:p>
    <w:p>
      <w:r>
        <w:t>FlashCoding declares that the described activities are structured as employer-contracted workforce training for productivity, operational workflow understanding, and digital workforce skill development.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