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08 Request for Exemption Determination</w:t>
      </w:r>
    </w:p>
    <w:p>
      <w:pPr>
        <w:jc w:val="center"/>
      </w:pPr>
      <w:r>
        <w:rPr>
          <w:b/>
          <w:sz w:val="22"/>
        </w:rPr>
        <w:t>Formal Exemption Determination Request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Request</w:t>
      </w:r>
    </w:p>
    <w:p>
      <w:r>
        <w:t>FlashCoding respectfully requests Ministry guidance on whether its employer-contracted workforce training activities require registration under the Ontario Career Colleges Act, 2005, or may qualify for exemption.</w:t>
      </w:r>
    </w:p>
    <w:p/>
    <w:p>
      <w:pPr>
        <w:pStyle w:val="Heading2"/>
      </w:pPr>
      <w:r>
        <w:t>Basis for Request</w:t>
      </w:r>
    </w:p>
    <w:p>
      <w:pPr>
        <w:pStyle w:val="ListBullet"/>
      </w:pPr>
      <w:r>
        <w:t>Employer contracts training directly</w:t>
      </w:r>
    </w:p>
    <w:p>
      <w:pPr>
        <w:pStyle w:val="ListBullet"/>
      </w:pPr>
      <w:r>
        <w:t>Employees attend as employer-sponsored participants</w:t>
      </w:r>
    </w:p>
    <w:p>
      <w:pPr>
        <w:pStyle w:val="ListBullet"/>
      </w:pPr>
      <w:r>
        <w:t>No individual student contracts</w:t>
      </w:r>
    </w:p>
    <w:p>
      <w:pPr>
        <w:pStyle w:val="ListBullet"/>
      </w:pPr>
      <w:r>
        <w:t>No tuition collected from individual participants</w:t>
      </w:r>
    </w:p>
    <w:p>
      <w:pPr>
        <w:pStyle w:val="ListBullet"/>
      </w:pPr>
      <w:r>
        <w:t>No public open enrollment</w:t>
      </w:r>
    </w:p>
    <w:p>
      <w:pPr>
        <w:pStyle w:val="ListBullet"/>
      </w:pPr>
      <w:r>
        <w:t>No diplomas or accredited credentials</w:t>
      </w:r>
    </w:p>
    <w:p>
      <w:pPr>
        <w:pStyle w:val="ListBullet"/>
      </w:pPr>
      <w:r>
        <w:t>Workforce productivity and operational skills focus</w:t>
      </w:r>
    </w:p>
    <w:p/>
    <w:p>
      <w:pPr>
        <w:pStyle w:val="Heading2"/>
      </w:pPr>
      <w:r>
        <w:t>Requested Guidance</w:t>
      </w:r>
    </w:p>
    <w:p>
      <w:pPr>
        <w:pStyle w:val="ListBullet"/>
      </w:pPr>
      <w:r>
        <w:t>Whether registration is required</w:t>
      </w:r>
    </w:p>
    <w:p>
      <w:pPr>
        <w:pStyle w:val="ListBullet"/>
      </w:pPr>
      <w:r>
        <w:t>Whether exemption may apply</w:t>
      </w:r>
    </w:p>
    <w:p>
      <w:pPr>
        <w:pStyle w:val="ListBullet"/>
      </w:pPr>
      <w:r>
        <w:t>Recommended additional documentation</w:t>
      </w:r>
    </w:p>
    <w:p>
      <w:pPr>
        <w:pStyle w:val="ListBullet"/>
      </w:pPr>
      <w:r>
        <w:t>Any compliance steps for employer-contracted workforce training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