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WEBTREE ACADEMY</w:t>
      </w:r>
    </w:p>
    <w:p>
      <w:pPr>
        <w:spacing w:after="40" w:before="0"/>
        <w:jc w:val="center"/>
      </w:pPr>
      <w:r>
        <w:rPr>
          <w:rFonts w:ascii="Arial" w:cs="Arial" w:eastAsia="Arial" w:hAnsi="Arial"/>
          <w:color w:val="666666"/>
          <w:sz w:val="16"/>
          <w:szCs w:val="16"/>
        </w:rPr>
        <w:t xml:space="preserve">60 Scarsdale Rd Unit 100, North York, ON M3B 2R7  |  (416) 792-8280  |  info@webtreeedu.com</w:t>
      </w:r>
    </w:p>
    <w:p>
      <w:pPr>
        <w:spacing w:after="60" w:before="0"/>
        <w:jc w:val="center"/>
      </w:pPr>
      <w:r>
        <w:rPr>
          <w:rFonts w:ascii="Arial" w:cs="Arial" w:eastAsia="Arial" w:hAnsi="Arial"/>
          <w:color w:val="666666"/>
          <w:sz w:val="16"/>
          <w:szCs w:val="16"/>
        </w:rPr>
        <w:t xml:space="preserve">BSID: 883796  |  Course: TAS2O – Technology and the Skilled Trades, Grade 10, Open</w:t>
      </w:r>
    </w:p>
    <w:p>
      <w:pPr>
        <w:shd w:fill="1F4E79" w:val="clear"/>
        <w:spacing w:after="60" w:before="60"/>
        <w:jc w:val="center"/>
      </w:pPr>
      <w:r>
        <w:t xml:space="preserve">  </w:t>
      </w:r>
      <w:r>
        <w:rPr>
          <w:rFonts w:ascii="Arial" w:cs="Arial" w:eastAsia="Arial" w:hAnsi="Arial"/>
          <w:b/>
          <w:bCs/>
          <w:color w:val="FFFFFF"/>
          <w:sz w:val="28"/>
          <w:szCs w:val="28"/>
        </w:rPr>
        <w:t xml:space="preserve">Indigenous Content Integration – Course Outline Addendum</w:t>
      </w:r>
      <w:r>
        <w:t xml:space="preserve">  </w:t>
      </w:r>
    </w:p>
    <w:p>
      <w:pPr>
        <w:spacing w:after="200" w:before="40"/>
        <w:jc w:val="center"/>
      </w:pPr>
      <w:r>
        <w:rPr>
          <w:rFonts w:ascii="Arial" w:cs="Arial" w:eastAsia="Arial" w:hAnsi="Arial"/>
          <w:color w:val="444444"/>
          <w:sz w:val="20"/>
          <w:szCs w:val="20"/>
        </w:rPr>
        <w:t xml:space="preserve">TAS2O – Supplementary Document for Ministry Inspection  |  Expectations A1.7 · B1.3 · B1.4</w:t>
      </w:r>
    </w:p>
    <w:p>
      <w:pPr>
        <w:pBdr>
          <w:left w:val="single" w:color="1E5631" w:sz="16" w:space="8"/>
        </w:pBdr>
        <w:shd w:fill="D6EAD9" w:val="clear"/>
        <w:spacing w:after="160" w:before="0"/>
      </w:pPr>
      <w:r>
        <w:rPr>
          <w:rFonts w:ascii="Arial" w:cs="Arial" w:eastAsia="Arial" w:hAnsi="Arial"/>
          <w:b/>
          <w:bCs/>
          <w:color w:val="1E5631"/>
          <w:sz w:val="20"/>
          <w:szCs w:val="20"/>
        </w:rPr>
        <w:t xml:space="preserve">  Purpose: </w:t>
      </w:r>
      <w:r>
        <w:rPr>
          <w:rFonts w:ascii="Arial" w:cs="Arial" w:eastAsia="Arial" w:hAnsi="Arial"/>
          <w:sz w:val="20"/>
          <w:szCs w:val="20"/>
        </w:rPr>
        <w:t xml:space="preserve">This addendum documents how Webtree Academy's TAS2O course integrates Indigenous perspectives, knowledge systems, and Canadian contributions in compliance with the 2024 Ontario curriculum. It supplements the main Course Outline and Unit Plans, and must be read alongside them.</w:t>
      </w:r>
    </w:p>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1. Curriculum Expectations — Indigenous Content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60"/>
        <w:gridCol w:w="2500"/>
      </w:tblGrid>
      <w:tr>
        <w:tc>
          <w:tcPr>
            <w:tcW w:type="dxa" w:w="12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Expectation</w:t>
            </w:r>
          </w:p>
        </w:tc>
        <w:tc>
          <w:tcPr>
            <w:tcW w:type="dxa" w:w="22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Text (Summary)</w:t>
            </w:r>
          </w:p>
        </w:tc>
        <w:tc>
          <w:tcPr>
            <w:tcW w:type="dxa" w:w="346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Required Content</w:t>
            </w:r>
          </w:p>
        </w:tc>
        <w:tc>
          <w:tcPr>
            <w:tcW w:type="dxa" w:w="25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Assessment Evidence</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A1.7</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A — Initiating &amp; Planning</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Collect and synthesize information from diverse perspectives and communities, including First Nations, Métis, and Inuit, to inform student projects.</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Project planning document includes Indigenous perspective prompt; teacher observation record</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B1.3</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B — Fundamentals of Tech Dev.</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Investigate and describe contributions to technological innovations made by Canadians including First Nations, Métis, and Inuit.</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Student Reflection Sheet from Indigenous Innovation lesson; Curriculum Mapping document</w:t>
            </w:r>
          </w:p>
        </w:tc>
      </w:tr>
      <w:tr>
        <w:tc>
          <w:tcPr>
            <w:tcW w:type="dxa" w:w="120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pPr>
              <w:jc w:val="center"/>
            </w:pPr>
            <w:r>
              <w:rPr>
                <w:rFonts w:ascii="Arial" w:cs="Arial" w:eastAsia="Arial" w:hAnsi="Arial"/>
                <w:b/>
                <w:bCs/>
                <w:color w:val="1E5631"/>
                <w:sz w:val="19"/>
                <w:szCs w:val="19"/>
              </w:rPr>
              <w:t xml:space="preserve">B1.4</w:t>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Strand B — Fundamentals of Tech Dev.</w:t>
            </w:r>
          </w:p>
        </w:tc>
        <w:tc>
          <w:tcPr>
            <w:tcW w:type="dxa" w:w="34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Describe ways in which diverse communities including First Nations, Métis, and Inuit have drawn on various knowledge systems for innovative technological problem solving.</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Lesson discussion observations; exit tickets; student reflection responses</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2. Where Indigenous Content Appears in the Course — Unit Map</w:t>
      </w:r>
    </w:p>
    <w:p>
      <w:pPr>
        <w:spacing w:after="60" w:before="60"/>
      </w:pPr>
      <w:r>
        <w:rPr>
          <w:rFonts w:ascii="Arial" w:cs="Arial" w:eastAsia="Arial" w:hAnsi="Arial"/>
          <w:b w:val="false"/>
          <w:bCs w:val="false"/>
          <w:color w:val="444444"/>
          <w:sz w:val="20"/>
          <w:szCs w:val="20"/>
        </w:rPr>
        <w:t xml:space="preserve">The following table shows exactly which units contain Indigenous content, what activity is used, and how many hours are allocated. This map corresponds to the 110-Hour Pacing Guide.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00"/>
        <w:gridCol w:w="3560"/>
        <w:gridCol w:w="500"/>
      </w:tblGrid>
      <w:tr>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Strand</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Focus</w:t>
            </w:r>
          </w:p>
        </w:tc>
        <w:tc>
          <w:tcPr>
            <w:tcW w:type="dxa" w:w="35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Indigenous Content Activity</w:t>
            </w:r>
          </w:p>
        </w:tc>
        <w:tc>
          <w:tcPr>
            <w:tcW w:type="dxa" w:w="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Hrs</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1</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A1 / B1</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Intro to Technology &amp; Design</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Minds-On activity: 'Where do technology ideas come from?' — introduces Indigenous knowledge as a legitimate knowledge system; connects to student project planning (A1.7)</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2</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3</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B1.3
B1.4</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Canadian Contributions to Technology</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Full 75-min Indigenous Innovation lesson (see attached lesson plan): Four case studies — Inuit Qarmat architecture, Three Sisters agriculture, Birchbark canoe design, Cree fire management. Student Reflection Sheet completed.</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1.25</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3</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B1.4</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Knowledge Systems Discussion</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Guided class discussion: How do Indigenous knowledge systems differ from Western technology? Connects to B1.2 (ethical/environmental considerations). Teacher records observations.</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0.5</w:t>
            </w:r>
          </w:p>
        </w:tc>
      </w:tr>
      <w:tr>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b/>
                <w:bCs/>
                <w:sz w:val="20"/>
                <w:szCs w:val="20"/>
              </w:rPr>
              <w:t xml:space="preserve">Unit 5</w:t>
            </w:r>
          </w:p>
        </w:tc>
        <w:tc>
          <w:tcPr>
            <w:tcW w:type="dxa" w:w="14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sz w:val="19"/>
                <w:szCs w:val="19"/>
              </w:rPr>
              <w:t xml:space="preserve">A1.7</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Project Research Phase</w:t>
            </w:r>
          </w:p>
        </w:tc>
        <w:tc>
          <w:tcPr>
            <w:tcW w:type="dxa" w:w="3560"/>
            <w:tcBorders>
              <w:top w:val="single" w:color="AAAAAA" w:sz="4"/>
              <w:left w:val="single" w:color="AAAAAA" w:sz="4"/>
              <w:bottom w:val="single" w:color="AAAAAA" w:sz="4"/>
              <w:right w:val="single" w:color="AAAAAA" w:sz="4"/>
            </w:tcBorders>
            <w:shd w:fill="D6EAD9" w:val="clear"/>
            <w:tcMar>
              <w:top w:type="dxa" w:w="100"/>
              <w:left w:type="dxa" w:w="140"/>
              <w:bottom w:type="dxa" w:w="100"/>
              <w:right w:type="dxa" w:w="140"/>
            </w:tcMar>
          </w:tcPr>
          <w:p>
            <w:r>
              <w:rPr>
                <w:rFonts w:ascii="Arial" w:cs="Arial" w:eastAsia="Arial" w:hAnsi="Arial"/>
                <w:b w:val="false"/>
                <w:bCs w:val="false"/>
                <w:color w:val="1E5631"/>
                <w:sz w:val="19"/>
                <w:szCs w:val="19"/>
              </w:rPr>
              <w:t xml:space="preserve">All student project plans include a mandatory section: 'Diverse Community Perspectives' — students must address how their design considers needs of diverse users or communities, with at least one prompt specifically mentioning Indigenous or underrepresented communities.</w:t>
            </w:r>
          </w:p>
        </w:tc>
        <w:tc>
          <w:tcPr>
            <w:tcW w:type="dxa" w:w="5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vAlign w:val="center"/>
          </w:tcPr>
          <w:p>
            <w:pPr>
              <w:jc w:val="center"/>
            </w:pPr>
            <w:r>
              <w:rPr>
                <w:rFonts w:ascii="Arial" w:cs="Arial" w:eastAsia="Arial" w:hAnsi="Arial"/>
                <w:sz w:val="19"/>
                <w:szCs w:val="19"/>
              </w:rPr>
              <w:t xml:space="preserve">1</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3. Guiding Principles — Cultural Appropriateness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Present Indigenous knowledge systems as living and current, not historical relics.</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 nation-specific examples where possible (e.g., Haudenosaunee, Anishinaabe, Inuit, Cree, Métis) — avoid generic 'Indigenous' as a homogenous category.</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Acknowledge historical context: residential schools, suppression of knowledge, and contemporary reclamation — age-appropriately and with sensitivity.</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Use primary and government-approved resources (NFB, Ontario Ministry of Education Indigenous Education resources, First Nations University of Canada).</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If opportunity arises, invite an Indigenous community member or Elder as a guest speaker. Contact the Native Canadian Centre of Toronto or Anishinabek Nation for referrals.</w:t>
            </w:r>
          </w:p>
        </w:tc>
      </w:tr>
      <w:tr>
        <w:tc>
          <w:tcPr>
            <w:tcW w:type="dxa" w:w="600"/>
            <w:tcBorders>
              <w:top w:val="single" w:color="AAAAAA" w:sz="4"/>
              <w:left w:val="single" w:color="AAAAAA" w:sz="4"/>
              <w:bottom w:val="single" w:color="AAAAAA" w:sz="4"/>
              <w:right w:val="single" w:color="AAAAAA" w:sz="4"/>
            </w:tcBorders>
            <w:shd w:fill="1E563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w:t>
            </w:r>
          </w:p>
        </w:tc>
        <w:tc>
          <w:tcPr>
            <w:tcW w:type="dxa" w:w="8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20"/>
                <w:szCs w:val="20"/>
              </w:rPr>
              <w:t xml:space="preserve">Do not ask Indigenous students (if present) to speak on behalf of all Indigenous peoples.</w:t>
            </w:r>
          </w:p>
        </w:tc>
      </w:tr>
    </w:tbl>
    <w:p>
      <w:r>
        <w:rPr>
          <w:sz w:val="12"/>
          <w:szCs w:val="12"/>
        </w:rPr>
        <w:t xml:space="preserve"/>
      </w:r>
    </w:p>
    <w:p>
      <w:pPr>
        <w:pBdr>
          <w:bottom w:val="single" w:color="1F4E79" w:sz="6" w:space="2"/>
        </w:pBdr>
        <w:spacing w:after="120" w:before="280"/>
      </w:pPr>
      <w:r>
        <w:rPr>
          <w:rFonts w:ascii="Arial" w:cs="Arial" w:eastAsia="Arial" w:hAnsi="Arial"/>
          <w:b/>
          <w:bCs/>
          <w:color w:val="1F4E79"/>
          <w:sz w:val="28"/>
          <w:szCs w:val="28"/>
        </w:rPr>
        <w:t xml:space="preserve">4. Resources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w:t>
            </w:r>
          </w:p>
        </w:tc>
        <w:tc>
          <w:tcPr>
            <w:tcW w:type="dxa" w:w="636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 URL</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National Film Board of Canada (NFB) – nfb.ca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Free documentaries on Indigenous history, culture, and innovation in Canada</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Ontario Ministry of Education – First Nation, Métis, and Inuit Education</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Policy and resource documents: edu.gov.on.ca</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First Nations University of Canada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Research and educational resources on Indigenous knowledge systems</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7 Generations Education Institute</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Indigenous STEM education materials</w:t>
            </w:r>
          </w:p>
        </w:tc>
      </w:tr>
      <w:tr>
        <w:tc>
          <w:tcPr>
            <w:tcW w:type="dxa" w:w="3000"/>
            <w:tcBorders>
              <w:top w:val="single" w:color="AAAAAA" w:sz="4"/>
              <w:left w:val="single" w:color="AAAAAA" w:sz="4"/>
              <w:bottom w:val="single" w:color="AAAAAA" w:sz="4"/>
              <w:right w:val="single" w:color="AAAAAA" w:sz="4"/>
            </w:tcBorders>
            <w:shd w:fill="F2F2F2" w:val="clear"/>
            <w:tcMar>
              <w:top w:type="dxa" w:w="100"/>
              <w:left w:type="dxa" w:w="140"/>
              <w:bottom w:type="dxa" w:w="100"/>
              <w:right w:type="dxa" w:w="140"/>
            </w:tcMar>
          </w:tcPr>
          <w:p>
            <w:r>
              <w:rPr>
                <w:rFonts w:ascii="Arial" w:cs="Arial" w:eastAsia="Arial" w:hAnsi="Arial"/>
                <w:b/>
                <w:bCs/>
                <w:sz w:val="19"/>
                <w:szCs w:val="19"/>
              </w:rPr>
              <w:t xml:space="preserve">Native Canadian Centre of Toronto – ncct.on.ca</w:t>
            </w:r>
          </w:p>
        </w:tc>
        <w:tc>
          <w:tcPr>
            <w:tcW w:type="dxa" w:w="6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tcPr>
          <w:p>
            <w:r>
              <w:rPr>
                <w:rFonts w:ascii="Arial" w:cs="Arial" w:eastAsia="Arial" w:hAnsi="Arial"/>
                <w:sz w:val="19"/>
                <w:szCs w:val="19"/>
              </w:rPr>
              <w:t xml:space="preserve">Community contact for potential guest speakers</w:t>
            </w:r>
          </w:p>
        </w:tc>
      </w:tr>
    </w:tbl>
    <w:p>
      <w:r>
        <w:rPr>
          <w:sz w:val="12"/>
          <w:szCs w:val="12"/>
        </w:rPr>
        <w:t xml:space="preserve"/>
      </w:r>
    </w:p>
    <w:p>
      <w:pPr>
        <w:spacing w:before="200"/>
      </w:pPr>
      <w:r>
        <w:rPr>
          <w:rFonts w:ascii="Arial" w:cs="Arial" w:eastAsia="Arial" w:hAnsi="Arial"/>
          <w:b/>
          <w:bCs/>
          <w:sz w:val="20"/>
          <w:szCs w:val="20"/>
        </w:rPr>
        <w:t xml:space="preserve">Principal Approval: </w:t>
      </w:r>
      <w:r>
        <w:rPr>
          <w:rFonts w:ascii="Arial" w:cs="Arial" w:eastAsia="Arial" w:hAnsi="Arial"/>
          <w:sz w:val="20"/>
          <w:szCs w:val="20"/>
        </w:rPr>
        <w:t xml:space="preserve">Henry Michels   Signature: _________________________   Date: _______________</w:t>
      </w:r>
    </w:p>
    <w:p>
      <w:pPr>
        <w:spacing w:after="60" w:before="60"/>
      </w:pPr>
      <w:r>
        <w:rPr>
          <w:rFonts w:ascii="Arial" w:cs="Arial" w:eastAsia="Arial" w:hAnsi="Arial"/>
          <w:b w:val="false"/>
          <w:bCs w:val="false"/>
          <w:color w:val="888888"/>
          <w:sz w:val="20"/>
          <w:szCs w:val="20"/>
        </w:rPr>
        <w:t xml:space="preserve">This addendum must be filed in: 01_Course_Core alongside the main Course Outline, AND in 05_School_Admin_and_Inspection &gt; TAS2O_Inspection_Binder.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2026-05-13T04:27:51.097Z</dcterms:created>
  <dcterms:modified xsi:type="dcterms:W3CDTF">2026-05-13T04:27:51.097Z</dcterms:modified>
</cp:coreProperties>
</file>

<file path=docProps/custom.xml><?xml version="1.0" encoding="utf-8"?>
<Properties xmlns="http://schemas.openxmlformats.org/officeDocument/2006/custom-properties" xmlns:vt="http://schemas.openxmlformats.org/officeDocument/2006/docPropsVTypes"/>
</file>