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36"/>
          <w:szCs w:val="36"/>
        </w:rPr>
        <w:t xml:space="preserve">WEBTREE ACADEMY</w:t>
      </w:r>
    </w:p>
    <w:p>
      <w:pPr>
        <w:spacing w:after="40" w:before="0"/>
        <w:jc w:val="center"/>
      </w:pPr>
      <w:r>
        <w:rPr>
          <w:rFonts w:ascii="Arial" w:cs="Arial" w:eastAsia="Arial" w:hAnsi="Arial"/>
          <w:color w:val="666666"/>
          <w:sz w:val="16"/>
          <w:szCs w:val="16"/>
        </w:rPr>
        <w:t xml:space="preserve">60 Scarsdale Rd Unit 100, North York, ON M3B 2R7  |  (416) 792-8280  |  info@webtreeedu.com</w:t>
      </w:r>
    </w:p>
    <w:p>
      <w:pPr>
        <w:spacing w:after="60" w:before="0"/>
        <w:jc w:val="center"/>
      </w:pPr>
      <w:r>
        <w:rPr>
          <w:rFonts w:ascii="Arial" w:cs="Arial" w:eastAsia="Arial" w:hAnsi="Arial"/>
          <w:color w:val="666666"/>
          <w:sz w:val="16"/>
          <w:szCs w:val="16"/>
        </w:rPr>
        <w:t xml:space="preserve">BSID: 883796  |  Course: TAS2O – Technology and the Skilled Trades, Grade 10, Open</w:t>
      </w:r>
    </w:p>
    <w:p>
      <w:pPr>
        <w:shd w:fill="1F4E79" w:val="clear"/>
        <w:spacing w:after="60" w:before="60"/>
        <w:jc w:val="center"/>
      </w:pPr>
      <w:r>
        <w:t xml:space="preserve">  </w:t>
      </w:r>
      <w:r>
        <w:rPr>
          <w:rFonts w:ascii="Arial" w:cs="Arial" w:eastAsia="Arial" w:hAnsi="Arial"/>
          <w:b/>
          <w:bCs/>
          <w:color w:val="FFFFFF"/>
          <w:sz w:val="28"/>
          <w:szCs w:val="28"/>
        </w:rPr>
        <w:t xml:space="preserve">Indigenous Content Integration – Course Outline Addendum</w:t>
      </w:r>
      <w:r>
        <w:t xml:space="preserve">  </w:t>
      </w:r>
    </w:p>
    <w:p>
      <w:pPr>
        <w:spacing w:after="200" w:before="40"/>
        <w:jc w:val="center"/>
      </w:pPr>
      <w:r>
        <w:rPr>
          <w:rFonts w:ascii="Arial" w:cs="Arial" w:eastAsia="Arial" w:hAnsi="Arial"/>
          <w:color w:val="444444"/>
          <w:sz w:val="20"/>
          <w:szCs w:val="20"/>
        </w:rPr>
        <w:t xml:space="preserve">TAS2O – Supplementary Document for Ministry Inspection  |  Expectations A1.7 · B1.3 · B1.4</w:t>
      </w:r>
    </w:p>
    <w:p>
      <w:pPr>
        <w:pBdr>
          <w:left w:val="single" w:color="1E5631" w:sz="16" w:space="8"/>
        </w:pBdr>
        <w:shd w:fill="D6EAD9" w:val="clear"/>
        <w:spacing w:after="160" w:before="0"/>
      </w:pPr>
      <w:r>
        <w:rPr>
          <w:rFonts w:ascii="Arial" w:cs="Arial" w:eastAsia="Arial" w:hAnsi="Arial"/>
          <w:b/>
          <w:bCs/>
          <w:color w:val="1E5631"/>
          <w:sz w:val="20"/>
          <w:szCs w:val="20"/>
        </w:rPr>
        <w:t xml:space="preserve">  Purpose: </w:t>
      </w:r>
      <w:r>
        <w:rPr>
          <w:rFonts w:ascii="Arial" w:cs="Arial" w:eastAsia="Arial" w:hAnsi="Arial"/>
          <w:sz w:val="20"/>
          <w:szCs w:val="20"/>
        </w:rPr>
        <w:t xml:space="preserve">This addendum documents how Webtree Academy's TAS2O course integrates Indigenous perspectives, knowledge systems, and Canadian contributions in compliance with the 2024 Ontario curriculum. It supplements the main Course Outline and Unit Plans, and must be read alongside them.</w:t>
      </w:r>
    </w:p>
    <w:p>
      <w:r>
        <w:rPr>
          <w:sz w:val="12"/>
          <w:szCs w:val="12"/>
        </w:rPr>
        <w:t xml:space="preserve"/>
      </w:r>
    </w:p>
    <w:p>
      <w:pPr>
        <w:pBdr>
          <w:bottom w:val="single" w:color="1F4E79" w:sz="6" w:space="2"/>
        </w:pBdr>
        <w:spacing w:after="120" w:before="280"/>
      </w:pPr>
      <w:r>
        <w:rPr>
          <w:rFonts w:ascii="Arial" w:cs="Arial" w:eastAsia="Arial" w:hAnsi="Arial"/>
          <w:b/>
          <w:bCs/>
          <w:color w:val="1F4E79"/>
          <w:sz w:val="28"/>
          <w:szCs w:val="28"/>
        </w:rPr>
        <w:t xml:space="preserve">1. Curriculum Expectations — Indigenous Content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460"/>
        <w:gridCol w:w="2500"/>
      </w:tblGrid>
      <w:tr>
        <w:tc>
          <w:tcPr>
            <w:tcW w:type="dxa" w:w="1200"/>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Expectation</w:t>
            </w:r>
          </w:p>
        </w:tc>
        <w:tc>
          <w:tcPr>
            <w:tcW w:type="dxa" w:w="2200"/>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Full Text (Summary)</w:t>
            </w:r>
          </w:p>
        </w:tc>
        <w:tc>
          <w:tcPr>
            <w:tcW w:type="dxa" w:w="3460"/>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Required Content</w:t>
            </w:r>
          </w:p>
        </w:tc>
        <w:tc>
          <w:tcPr>
            <w:tcW w:type="dxa" w:w="2500"/>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Assessment Evidence</w:t>
            </w:r>
          </w:p>
        </w:tc>
      </w:tr>
      <w:tr>
        <w:tc>
          <w:tcPr>
            <w:tcW w:type="dxa" w:w="1200"/>
            <w:tcBorders>
              <w:top w:val="single" w:color="AAAAAA" w:sz="4"/>
              <w:left w:val="single" w:color="AAAAAA" w:sz="4"/>
              <w:bottom w:val="single" w:color="AAAAAA" w:sz="4"/>
              <w:right w:val="single" w:color="AAAAAA" w:sz="4"/>
            </w:tcBorders>
            <w:shd w:fill="D6EAD9" w:val="clear"/>
            <w:tcMar>
              <w:top w:type="dxa" w:w="100"/>
              <w:left w:type="dxa" w:w="140"/>
              <w:bottom w:type="dxa" w:w="100"/>
              <w:right w:type="dxa" w:w="140"/>
            </w:tcMar>
          </w:tcPr>
          <w:p>
            <w:pPr>
              <w:jc w:val="center"/>
            </w:pPr>
            <w:r>
              <w:rPr>
                <w:rFonts w:ascii="Arial" w:cs="Arial" w:eastAsia="Arial" w:hAnsi="Arial"/>
                <w:b/>
                <w:bCs/>
                <w:color w:val="1E5631"/>
                <w:sz w:val="19"/>
                <w:szCs w:val="19"/>
              </w:rPr>
              <w:t xml:space="preserve">A1.7</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Strand A — Initiating &amp; Planning</w:t>
            </w:r>
          </w:p>
        </w:tc>
        <w:tc>
          <w:tcPr>
            <w:tcW w:type="dxa" w:w="34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Collect and synthesize information from diverse perspectives and communities, including First Nations, Métis, and Inuit, to inform student projects.</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Project planning document includes Indigenous perspective prompt; teacher observation record</w:t>
            </w:r>
          </w:p>
        </w:tc>
      </w:tr>
      <w:tr>
        <w:tc>
          <w:tcPr>
            <w:tcW w:type="dxa" w:w="1200"/>
            <w:tcBorders>
              <w:top w:val="single" w:color="AAAAAA" w:sz="4"/>
              <w:left w:val="single" w:color="AAAAAA" w:sz="4"/>
              <w:bottom w:val="single" w:color="AAAAAA" w:sz="4"/>
              <w:right w:val="single" w:color="AAAAAA" w:sz="4"/>
            </w:tcBorders>
            <w:shd w:fill="D6EAD9" w:val="clear"/>
            <w:tcMar>
              <w:top w:type="dxa" w:w="100"/>
              <w:left w:type="dxa" w:w="140"/>
              <w:bottom w:type="dxa" w:w="100"/>
              <w:right w:type="dxa" w:w="140"/>
            </w:tcMar>
          </w:tcPr>
          <w:p>
            <w:pPr>
              <w:jc w:val="center"/>
            </w:pPr>
            <w:r>
              <w:rPr>
                <w:rFonts w:ascii="Arial" w:cs="Arial" w:eastAsia="Arial" w:hAnsi="Arial"/>
                <w:b/>
                <w:bCs/>
                <w:color w:val="1E5631"/>
                <w:sz w:val="19"/>
                <w:szCs w:val="19"/>
              </w:rPr>
              <w:t xml:space="preserve">B1.3</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Strand B — Fundamentals of Tech Dev.</w:t>
            </w:r>
          </w:p>
        </w:tc>
        <w:tc>
          <w:tcPr>
            <w:tcW w:type="dxa" w:w="34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Investigate and describe contributions to technological innovations made by Canadians including First Nations, Métis, and Inuit.</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Student Reflection Sheet from Indigenous Innovation lesson; Curriculum Mapping document</w:t>
            </w:r>
          </w:p>
        </w:tc>
      </w:tr>
      <w:tr>
        <w:tc>
          <w:tcPr>
            <w:tcW w:type="dxa" w:w="1200"/>
            <w:tcBorders>
              <w:top w:val="single" w:color="AAAAAA" w:sz="4"/>
              <w:left w:val="single" w:color="AAAAAA" w:sz="4"/>
              <w:bottom w:val="single" w:color="AAAAAA" w:sz="4"/>
              <w:right w:val="single" w:color="AAAAAA" w:sz="4"/>
            </w:tcBorders>
            <w:shd w:fill="D6EAD9" w:val="clear"/>
            <w:tcMar>
              <w:top w:type="dxa" w:w="100"/>
              <w:left w:type="dxa" w:w="140"/>
              <w:bottom w:type="dxa" w:w="100"/>
              <w:right w:type="dxa" w:w="140"/>
            </w:tcMar>
          </w:tcPr>
          <w:p>
            <w:pPr>
              <w:jc w:val="center"/>
            </w:pPr>
            <w:r>
              <w:rPr>
                <w:rFonts w:ascii="Arial" w:cs="Arial" w:eastAsia="Arial" w:hAnsi="Arial"/>
                <w:b/>
                <w:bCs/>
                <w:color w:val="1E5631"/>
                <w:sz w:val="19"/>
                <w:szCs w:val="19"/>
              </w:rPr>
              <w:t xml:space="preserve">B1.4</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Strand B — Fundamentals of Tech Dev.</w:t>
            </w:r>
          </w:p>
        </w:tc>
        <w:tc>
          <w:tcPr>
            <w:tcW w:type="dxa" w:w="34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Describe ways in which diverse communities including First Nations, Métis, and Inuit have drawn on various knowledge systems for innovative technological problem solving.</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Lesson discussion observations; exit tickets; student reflection responses</w:t>
            </w:r>
          </w:p>
        </w:tc>
      </w:tr>
    </w:tbl>
    <w:p>
      <w:r>
        <w:rPr>
          <w:sz w:val="12"/>
          <w:szCs w:val="12"/>
        </w:rPr>
        <w:t xml:space="preserve"/>
      </w:r>
    </w:p>
    <w:p>
      <w:pPr>
        <w:pBdr>
          <w:bottom w:val="single" w:color="1F4E79" w:sz="6" w:space="2"/>
        </w:pBdr>
        <w:spacing w:after="120" w:before="280"/>
      </w:pPr>
      <w:r>
        <w:rPr>
          <w:rFonts w:ascii="Arial" w:cs="Arial" w:eastAsia="Arial" w:hAnsi="Arial"/>
          <w:b/>
          <w:bCs/>
          <w:color w:val="1F4E79"/>
          <w:sz w:val="28"/>
          <w:szCs w:val="28"/>
        </w:rPr>
        <w:t xml:space="preserve">2. Where Indigenous Content Appears in the Course — Unit Map</w:t>
      </w:r>
    </w:p>
    <w:p>
      <w:pPr>
        <w:spacing w:after="60" w:before="60"/>
      </w:pPr>
      <w:r>
        <w:rPr>
          <w:rFonts w:ascii="Arial" w:cs="Arial" w:eastAsia="Arial" w:hAnsi="Arial"/>
          <w:b w:val="false"/>
          <w:bCs w:val="false"/>
          <w:color w:val="444444"/>
          <w:sz w:val="20"/>
          <w:szCs w:val="20"/>
        </w:rPr>
        <w:t xml:space="preserve">The following table shows exactly which units contain Indigenous content, what activity is used, and how many hours are allocated. This map corresponds to the 110-Hour Pacing Guide.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500"/>
        <w:gridCol w:w="3560"/>
        <w:gridCol w:w="500"/>
      </w:tblGrid>
      <w:tr>
        <w:tc>
          <w:tcPr>
            <w:tcW w:type="dxa" w:w="1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Unit</w:t>
            </w:r>
          </w:p>
        </w:tc>
        <w:tc>
          <w:tcPr>
            <w:tcW w:type="dxa" w:w="1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Strand</w:t>
            </w:r>
          </w:p>
        </w:tc>
        <w:tc>
          <w:tcPr>
            <w:tcW w:type="dxa" w:w="2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Unit Focus</w:t>
            </w:r>
          </w:p>
        </w:tc>
        <w:tc>
          <w:tcPr>
            <w:tcW w:type="dxa" w:w="35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Indigenous Content Activity</w:t>
            </w:r>
          </w:p>
        </w:tc>
        <w:tc>
          <w:tcPr>
            <w:tcW w:type="dxa" w:w="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Hrs</w:t>
            </w:r>
          </w:p>
        </w:tc>
      </w:tr>
      <w:tr>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Unit 1</w:t>
            </w:r>
          </w:p>
        </w:tc>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19"/>
                <w:szCs w:val="19"/>
              </w:rPr>
              <w:t xml:space="preserve">A1 / B1</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Intro to Technology &amp; Design</w:t>
            </w:r>
          </w:p>
        </w:tc>
        <w:tc>
          <w:tcPr>
            <w:tcW w:type="dxa" w:w="3560"/>
            <w:tcBorders>
              <w:top w:val="single" w:color="AAAAAA" w:sz="4"/>
              <w:left w:val="single" w:color="AAAAAA" w:sz="4"/>
              <w:bottom w:val="single" w:color="AAAAAA" w:sz="4"/>
              <w:right w:val="single" w:color="AAAAAA" w:sz="4"/>
            </w:tcBorders>
            <w:shd w:fill="D6EAD9" w:val="clear"/>
            <w:tcMar>
              <w:top w:type="dxa" w:w="100"/>
              <w:left w:type="dxa" w:w="140"/>
              <w:bottom w:type="dxa" w:w="100"/>
              <w:right w:type="dxa" w:w="140"/>
            </w:tcMar>
          </w:tcPr>
          <w:p>
            <w:r>
              <w:rPr>
                <w:rFonts w:ascii="Arial" w:cs="Arial" w:eastAsia="Arial" w:hAnsi="Arial"/>
                <w:b w:val="false"/>
                <w:bCs w:val="false"/>
                <w:color w:val="1E5631"/>
                <w:sz w:val="19"/>
                <w:szCs w:val="19"/>
              </w:rPr>
              <w:t xml:space="preserve">Minds-On activity: 'Where do technology ideas come from?' — introduces Indigenous knowledge as a legitimate knowledge system; connects to student project planning (A1.7)</w:t>
            </w:r>
          </w:p>
        </w:tc>
        <w:tc>
          <w:tcPr>
            <w:tcW w:type="dxa" w:w="5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center"/>
          </w:tcPr>
          <w:p>
            <w:pPr>
              <w:jc w:val="center"/>
            </w:pPr>
            <w:r>
              <w:rPr>
                <w:rFonts w:ascii="Arial" w:cs="Arial" w:eastAsia="Arial" w:hAnsi="Arial"/>
                <w:sz w:val="19"/>
                <w:szCs w:val="19"/>
              </w:rPr>
              <w:t xml:space="preserve">2</w:t>
            </w:r>
          </w:p>
        </w:tc>
      </w:tr>
      <w:tr>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Unit 3</w:t>
            </w:r>
          </w:p>
        </w:tc>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19"/>
                <w:szCs w:val="19"/>
              </w:rPr>
              <w:t xml:space="preserve">B1.3
B1.4</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Canadian Contributions to Technology</w:t>
            </w:r>
          </w:p>
        </w:tc>
        <w:tc>
          <w:tcPr>
            <w:tcW w:type="dxa" w:w="3560"/>
            <w:tcBorders>
              <w:top w:val="single" w:color="AAAAAA" w:sz="4"/>
              <w:left w:val="single" w:color="AAAAAA" w:sz="4"/>
              <w:bottom w:val="single" w:color="AAAAAA" w:sz="4"/>
              <w:right w:val="single" w:color="AAAAAA" w:sz="4"/>
            </w:tcBorders>
            <w:shd w:fill="D6EAD9" w:val="clear"/>
            <w:tcMar>
              <w:top w:type="dxa" w:w="100"/>
              <w:left w:type="dxa" w:w="140"/>
              <w:bottom w:type="dxa" w:w="100"/>
              <w:right w:type="dxa" w:w="140"/>
            </w:tcMar>
          </w:tcPr>
          <w:p>
            <w:r>
              <w:rPr>
                <w:rFonts w:ascii="Arial" w:cs="Arial" w:eastAsia="Arial" w:hAnsi="Arial"/>
                <w:b w:val="false"/>
                <w:bCs w:val="false"/>
                <w:color w:val="1E5631"/>
                <w:sz w:val="19"/>
                <w:szCs w:val="19"/>
              </w:rPr>
              <w:t xml:space="preserve">Full 75-min Indigenous Innovation lesson (see attached lesson plan): Four case studies — Inuit Qarmat architecture, Three Sisters agriculture, Birchbark canoe design, Cree fire management. Student Reflection Sheet completed.</w:t>
            </w:r>
          </w:p>
        </w:tc>
        <w:tc>
          <w:tcPr>
            <w:tcW w:type="dxa" w:w="5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center"/>
          </w:tcPr>
          <w:p>
            <w:pPr>
              <w:jc w:val="center"/>
            </w:pPr>
            <w:r>
              <w:rPr>
                <w:rFonts w:ascii="Arial" w:cs="Arial" w:eastAsia="Arial" w:hAnsi="Arial"/>
                <w:sz w:val="19"/>
                <w:szCs w:val="19"/>
              </w:rPr>
              <w:t xml:space="preserve">1.25</w:t>
            </w:r>
          </w:p>
        </w:tc>
      </w:tr>
      <w:tr>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Unit 3</w:t>
            </w:r>
          </w:p>
        </w:tc>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19"/>
                <w:szCs w:val="19"/>
              </w:rPr>
              <w:t xml:space="preserve">B1.4</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Knowledge Systems Discussion</w:t>
            </w:r>
          </w:p>
        </w:tc>
        <w:tc>
          <w:tcPr>
            <w:tcW w:type="dxa" w:w="3560"/>
            <w:tcBorders>
              <w:top w:val="single" w:color="AAAAAA" w:sz="4"/>
              <w:left w:val="single" w:color="AAAAAA" w:sz="4"/>
              <w:bottom w:val="single" w:color="AAAAAA" w:sz="4"/>
              <w:right w:val="single" w:color="AAAAAA" w:sz="4"/>
            </w:tcBorders>
            <w:shd w:fill="D6EAD9" w:val="clear"/>
            <w:tcMar>
              <w:top w:type="dxa" w:w="100"/>
              <w:left w:type="dxa" w:w="140"/>
              <w:bottom w:type="dxa" w:w="100"/>
              <w:right w:type="dxa" w:w="140"/>
            </w:tcMar>
          </w:tcPr>
          <w:p>
            <w:r>
              <w:rPr>
                <w:rFonts w:ascii="Arial" w:cs="Arial" w:eastAsia="Arial" w:hAnsi="Arial"/>
                <w:b w:val="false"/>
                <w:bCs w:val="false"/>
                <w:color w:val="1E5631"/>
                <w:sz w:val="19"/>
                <w:szCs w:val="19"/>
              </w:rPr>
              <w:t xml:space="preserve">Guided class discussion: How do Indigenous knowledge systems differ from Western technology? Connects to B1.2 (ethical/environmental considerations). Teacher records observations.</w:t>
            </w:r>
          </w:p>
        </w:tc>
        <w:tc>
          <w:tcPr>
            <w:tcW w:type="dxa" w:w="5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center"/>
          </w:tcPr>
          <w:p>
            <w:pPr>
              <w:jc w:val="center"/>
            </w:pPr>
            <w:r>
              <w:rPr>
                <w:rFonts w:ascii="Arial" w:cs="Arial" w:eastAsia="Arial" w:hAnsi="Arial"/>
                <w:sz w:val="19"/>
                <w:szCs w:val="19"/>
              </w:rPr>
              <w:t xml:space="preserve">0.5</w:t>
            </w:r>
          </w:p>
        </w:tc>
      </w:tr>
      <w:tr>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Unit 5</w:t>
            </w:r>
          </w:p>
        </w:tc>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19"/>
                <w:szCs w:val="19"/>
              </w:rPr>
              <w:t xml:space="preserve">A1.7</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Project Research Phase</w:t>
            </w:r>
          </w:p>
        </w:tc>
        <w:tc>
          <w:tcPr>
            <w:tcW w:type="dxa" w:w="3560"/>
            <w:tcBorders>
              <w:top w:val="single" w:color="AAAAAA" w:sz="4"/>
              <w:left w:val="single" w:color="AAAAAA" w:sz="4"/>
              <w:bottom w:val="single" w:color="AAAAAA" w:sz="4"/>
              <w:right w:val="single" w:color="AAAAAA" w:sz="4"/>
            </w:tcBorders>
            <w:shd w:fill="D6EAD9" w:val="clear"/>
            <w:tcMar>
              <w:top w:type="dxa" w:w="100"/>
              <w:left w:type="dxa" w:w="140"/>
              <w:bottom w:type="dxa" w:w="100"/>
              <w:right w:type="dxa" w:w="140"/>
            </w:tcMar>
          </w:tcPr>
          <w:p>
            <w:r>
              <w:rPr>
                <w:rFonts w:ascii="Arial" w:cs="Arial" w:eastAsia="Arial" w:hAnsi="Arial"/>
                <w:b w:val="false"/>
                <w:bCs w:val="false"/>
                <w:color w:val="1E5631"/>
                <w:sz w:val="19"/>
                <w:szCs w:val="19"/>
              </w:rPr>
              <w:t xml:space="preserve">All student project plans include a mandatory section: 'Diverse Community Perspectives' — students must address how their design considers needs of diverse users or communities, with at least one prompt specifically mentioning Indigenous or underrepresented communities.</w:t>
            </w:r>
          </w:p>
        </w:tc>
        <w:tc>
          <w:tcPr>
            <w:tcW w:type="dxa" w:w="5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center"/>
          </w:tcPr>
          <w:p>
            <w:pPr>
              <w:jc w:val="center"/>
            </w:pPr>
            <w:r>
              <w:rPr>
                <w:rFonts w:ascii="Arial" w:cs="Arial" w:eastAsia="Arial" w:hAnsi="Arial"/>
                <w:sz w:val="19"/>
                <w:szCs w:val="19"/>
              </w:rPr>
              <w:t xml:space="preserve">1</w:t>
            </w:r>
          </w:p>
        </w:tc>
      </w:tr>
    </w:tbl>
    <w:p>
      <w:r>
        <w:rPr>
          <w:sz w:val="12"/>
          <w:szCs w:val="12"/>
        </w:rPr>
        <w:t xml:space="preserve"/>
      </w:r>
    </w:p>
    <w:p>
      <w:pPr>
        <w:pBdr>
          <w:bottom w:val="single" w:color="1F4E79" w:sz="6" w:space="2"/>
        </w:pBdr>
        <w:spacing w:after="120" w:before="280"/>
      </w:pPr>
      <w:r>
        <w:rPr>
          <w:rFonts w:ascii="Arial" w:cs="Arial" w:eastAsia="Arial" w:hAnsi="Arial"/>
          <w:b/>
          <w:bCs/>
          <w:color w:val="1F4E79"/>
          <w:sz w:val="28"/>
          <w:szCs w:val="28"/>
        </w:rPr>
        <w:t xml:space="preserve">3. Guiding Principles — Cultural Appropriateness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AAAAA" w:sz="4"/>
              <w:left w:val="single" w:color="AAAAAA" w:sz="4"/>
              <w:bottom w:val="single" w:color="AAAAAA" w:sz="4"/>
              <w:right w:val="single" w:color="AAAAAA"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w:t>
            </w:r>
          </w:p>
        </w:tc>
        <w:tc>
          <w:tcPr>
            <w:tcW w:type="dxa" w:w="8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Present Indigenous knowledge systems as living and current, not historical relics.</w:t>
            </w:r>
          </w:p>
        </w:tc>
      </w:tr>
      <w:tr>
        <w:tc>
          <w:tcPr>
            <w:tcW w:type="dxa" w:w="600"/>
            <w:tcBorders>
              <w:top w:val="single" w:color="AAAAAA" w:sz="4"/>
              <w:left w:val="single" w:color="AAAAAA" w:sz="4"/>
              <w:bottom w:val="single" w:color="AAAAAA" w:sz="4"/>
              <w:right w:val="single" w:color="AAAAAA"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w:t>
            </w:r>
          </w:p>
        </w:tc>
        <w:tc>
          <w:tcPr>
            <w:tcW w:type="dxa" w:w="8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Use nation-specific examples where possible (e.g., Haudenosaunee, Anishinaabe, Inuit, Cree, Métis) — avoid generic 'Indigenous' as a homogenous category.</w:t>
            </w:r>
          </w:p>
        </w:tc>
      </w:tr>
      <w:tr>
        <w:tc>
          <w:tcPr>
            <w:tcW w:type="dxa" w:w="600"/>
            <w:tcBorders>
              <w:top w:val="single" w:color="AAAAAA" w:sz="4"/>
              <w:left w:val="single" w:color="AAAAAA" w:sz="4"/>
              <w:bottom w:val="single" w:color="AAAAAA" w:sz="4"/>
              <w:right w:val="single" w:color="AAAAAA"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w:t>
            </w:r>
          </w:p>
        </w:tc>
        <w:tc>
          <w:tcPr>
            <w:tcW w:type="dxa" w:w="8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Acknowledge historical context: residential schools, suppression of knowledge, and contemporary reclamation — age-appropriately and with sensitivity.</w:t>
            </w:r>
          </w:p>
        </w:tc>
      </w:tr>
      <w:tr>
        <w:tc>
          <w:tcPr>
            <w:tcW w:type="dxa" w:w="600"/>
            <w:tcBorders>
              <w:top w:val="single" w:color="AAAAAA" w:sz="4"/>
              <w:left w:val="single" w:color="AAAAAA" w:sz="4"/>
              <w:bottom w:val="single" w:color="AAAAAA" w:sz="4"/>
              <w:right w:val="single" w:color="AAAAAA"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4</w:t>
            </w:r>
          </w:p>
        </w:tc>
        <w:tc>
          <w:tcPr>
            <w:tcW w:type="dxa" w:w="8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Use primary and government-approved resources (NFB, Ontario Ministry of Education Indigenous Education resources, First Nations University of Canada).</w:t>
            </w:r>
          </w:p>
        </w:tc>
      </w:tr>
      <w:tr>
        <w:tc>
          <w:tcPr>
            <w:tcW w:type="dxa" w:w="600"/>
            <w:tcBorders>
              <w:top w:val="single" w:color="AAAAAA" w:sz="4"/>
              <w:left w:val="single" w:color="AAAAAA" w:sz="4"/>
              <w:bottom w:val="single" w:color="AAAAAA" w:sz="4"/>
              <w:right w:val="single" w:color="AAAAAA"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5</w:t>
            </w:r>
          </w:p>
        </w:tc>
        <w:tc>
          <w:tcPr>
            <w:tcW w:type="dxa" w:w="8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If opportunity arises, invite an Indigenous community member or Elder as a guest speaker. Contact the Native Canadian Centre of Toronto or Anishinabek Nation for referrals.</w:t>
            </w:r>
          </w:p>
        </w:tc>
      </w:tr>
      <w:tr>
        <w:tc>
          <w:tcPr>
            <w:tcW w:type="dxa" w:w="600"/>
            <w:tcBorders>
              <w:top w:val="single" w:color="AAAAAA" w:sz="4"/>
              <w:left w:val="single" w:color="AAAAAA" w:sz="4"/>
              <w:bottom w:val="single" w:color="AAAAAA" w:sz="4"/>
              <w:right w:val="single" w:color="AAAAAA"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6</w:t>
            </w:r>
          </w:p>
        </w:tc>
        <w:tc>
          <w:tcPr>
            <w:tcW w:type="dxa" w:w="8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Do not ask Indigenous students (if present) to speak on behalf of all Indigenous peoples.</w:t>
            </w:r>
          </w:p>
        </w:tc>
      </w:tr>
    </w:tbl>
    <w:p>
      <w:r>
        <w:rPr>
          <w:sz w:val="12"/>
          <w:szCs w:val="12"/>
        </w:rPr>
        <w:t xml:space="preserve"/>
      </w:r>
    </w:p>
    <w:p>
      <w:pPr>
        <w:pBdr>
          <w:bottom w:val="single" w:color="1F4E79" w:sz="6" w:space="2"/>
        </w:pBdr>
        <w:spacing w:after="120" w:before="280"/>
      </w:pPr>
      <w:r>
        <w:rPr>
          <w:rFonts w:ascii="Arial" w:cs="Arial" w:eastAsia="Arial" w:hAnsi="Arial"/>
          <w:b/>
          <w:bCs/>
          <w:color w:val="1F4E79"/>
          <w:sz w:val="28"/>
          <w:szCs w:val="28"/>
        </w:rPr>
        <w:t xml:space="preserve">4. Resources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Resource</w:t>
            </w:r>
          </w:p>
        </w:tc>
        <w:tc>
          <w:tcPr>
            <w:tcW w:type="dxa" w:w="63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 / URL</w:t>
            </w:r>
          </w:p>
        </w:tc>
      </w:tr>
      <w:tr>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b/>
                <w:bCs/>
                <w:sz w:val="19"/>
                <w:szCs w:val="19"/>
              </w:rPr>
              <w:t xml:space="preserve">National Film Board of Canada (NFB) – nfb.ca</w:t>
            </w:r>
          </w:p>
        </w:tc>
        <w:tc>
          <w:tcPr>
            <w:tcW w:type="dxa" w:w="63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Free documentaries on Indigenous history, culture, and innovation in Canada</w:t>
            </w:r>
          </w:p>
        </w:tc>
      </w:tr>
      <w:tr>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b/>
                <w:bCs/>
                <w:sz w:val="19"/>
                <w:szCs w:val="19"/>
              </w:rPr>
              <w:t xml:space="preserve">Ontario Ministry of Education – First Nation, Métis, and Inuit Education</w:t>
            </w:r>
          </w:p>
        </w:tc>
        <w:tc>
          <w:tcPr>
            <w:tcW w:type="dxa" w:w="63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Policy and resource documents: edu.gov.on.ca</w:t>
            </w:r>
          </w:p>
        </w:tc>
      </w:tr>
      <w:tr>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b/>
                <w:bCs/>
                <w:sz w:val="19"/>
                <w:szCs w:val="19"/>
              </w:rPr>
              <w:t xml:space="preserve">First Nations University of Canada</w:t>
            </w:r>
          </w:p>
        </w:tc>
        <w:tc>
          <w:tcPr>
            <w:tcW w:type="dxa" w:w="63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Research and educational resources on Indigenous knowledge systems</w:t>
            </w:r>
          </w:p>
        </w:tc>
      </w:tr>
      <w:tr>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b/>
                <w:bCs/>
                <w:sz w:val="19"/>
                <w:szCs w:val="19"/>
              </w:rPr>
              <w:t xml:space="preserve">7 Generations Education Institute</w:t>
            </w:r>
          </w:p>
        </w:tc>
        <w:tc>
          <w:tcPr>
            <w:tcW w:type="dxa" w:w="63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Indigenous STEM education materials</w:t>
            </w:r>
          </w:p>
        </w:tc>
      </w:tr>
      <w:tr>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b/>
                <w:bCs/>
                <w:sz w:val="19"/>
                <w:szCs w:val="19"/>
              </w:rPr>
              <w:t xml:space="preserve">Native Canadian Centre of Toronto – ncct.on.ca</w:t>
            </w:r>
          </w:p>
        </w:tc>
        <w:tc>
          <w:tcPr>
            <w:tcW w:type="dxa" w:w="63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Community contact for potential guest speakers</w:t>
            </w:r>
          </w:p>
        </w:tc>
      </w:tr>
    </w:tbl>
    <w:p>
      <w:r>
        <w:rPr>
          <w:sz w:val="12"/>
          <w:szCs w:val="12"/>
        </w:rPr>
        <w:t xml:space="preserve"/>
      </w:r>
    </w:p>
    <w:p>
      <w:pPr>
        <w:spacing w:before="200"/>
      </w:pPr>
      <w:r>
        <w:rPr>
          <w:rFonts w:ascii="Arial" w:cs="Arial" w:eastAsia="Arial" w:hAnsi="Arial"/>
          <w:b/>
          <w:bCs/>
          <w:sz w:val="20"/>
          <w:szCs w:val="20"/>
        </w:rPr>
        <w:t xml:space="preserve">Principal Approval: </w:t>
      </w:r>
      <w:r>
        <w:rPr>
          <w:rFonts w:ascii="Arial" w:cs="Arial" w:eastAsia="Arial" w:hAnsi="Arial"/>
          <w:sz w:val="20"/>
          <w:szCs w:val="20"/>
        </w:rPr>
        <w:t xml:space="preserve">Henry Michels   Signature: _________________________   Date: _______________</w:t>
      </w:r>
    </w:p>
    <w:p>
      <w:pPr>
        <w:spacing w:after="60" w:before="60"/>
      </w:pPr>
      <w:r>
        <w:rPr>
          <w:rFonts w:ascii="Arial" w:cs="Arial" w:eastAsia="Arial" w:hAnsi="Arial"/>
          <w:b w:val="false"/>
          <w:bCs w:val="false"/>
          <w:color w:val="888888"/>
          <w:sz w:val="20"/>
          <w:szCs w:val="20"/>
        </w:rPr>
        <w:t xml:space="preserve">This addendum must be filed in: 01_Course_Core alongside the main Course Outline, AND in 05_School_Admin_and_Inspection &gt; TAS2O_Inspection_Binder.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2026-05-13T04:27:51.097Z</dcterms:created>
  <dcterms:modified xsi:type="dcterms:W3CDTF">2026-05-13T04:27:51.097Z</dcterms:modified>
</cp:coreProperties>
</file>

<file path=docProps/custom.xml><?xml version="1.0" encoding="utf-8"?>
<Properties xmlns="http://schemas.openxmlformats.org/officeDocument/2006/custom-properties" xmlns:vt="http://schemas.openxmlformats.org/officeDocument/2006/docPropsVTypes"/>
</file>