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OSR and OST Policy and Procedure</w:t>
      </w:r>
    </w:p>
    <w:p>
      <w:pPr>
        <w:jc w:val="center"/>
      </w:pPr>
      <w:r>
        <w:t>Webtree Academy | TAS2O - Technology and the Skilled Trades, Grade 10, Open</w:t>
      </w:r>
    </w:p>
    <w:tbl>
      <w:tblPr>
        <w:tblStyle w:val="TableGrid"/>
        <w:tblW w:type="auto" w:w="0"/>
        <w:tblLook w:firstColumn="1" w:firstRow="1" w:lastColumn="0" w:lastRow="0" w:noHBand="0" w:noVBand="1" w:val="04A0"/>
      </w:tblPr>
      <w:tblGrid>
        <w:gridCol w:w="4320"/>
        <w:gridCol w:w="4320"/>
      </w:tblGrid>
      <w:tr>
        <w:tc>
          <w:tcPr>
            <w:tcW w:type="dxa" w:w="4320"/>
          </w:tcPr>
          <w:p>
            <w:r>
              <w:t>School Name</w:t>
            </w:r>
          </w:p>
        </w:tc>
        <w:tc>
          <w:tcPr>
            <w:tcW w:type="dxa" w:w="4320"/>
          </w:tcPr>
          <w:p>
            <w:r>
              <w:t>Webtree Academy</w:t>
            </w:r>
          </w:p>
        </w:tc>
      </w:tr>
      <w:tr>
        <w:tc>
          <w:tcPr>
            <w:tcW w:type="dxa" w:w="4320"/>
          </w:tcPr>
          <w:p>
            <w:r>
              <w:t>BSID</w:t>
            </w:r>
          </w:p>
        </w:tc>
        <w:tc>
          <w:tcPr>
            <w:tcW w:type="dxa" w:w="4320"/>
          </w:tcPr>
          <w:p>
            <w:r>
              <w:t>883796</w:t>
            </w:r>
          </w:p>
        </w:tc>
      </w:tr>
      <w:tr>
        <w:tc>
          <w:tcPr>
            <w:tcW w:type="dxa" w:w="4320"/>
          </w:tcPr>
          <w:p>
            <w:r>
              <w:t>Prepared By</w:t>
            </w:r>
          </w:p>
        </w:tc>
        <w:tc>
          <w:tcPr>
            <w:tcW w:type="dxa" w:w="4320"/>
          </w:tcPr>
          <w:p>
            <w:r>
              <w:t>Carlos Chen</w:t>
            </w:r>
          </w:p>
        </w:tc>
      </w:tr>
      <w:tr>
        <w:tc>
          <w:tcPr>
            <w:tcW w:type="dxa" w:w="4320"/>
          </w:tcPr>
          <w:p>
            <w:r>
              <w:t>Principal</w:t>
            </w:r>
          </w:p>
        </w:tc>
        <w:tc>
          <w:tcPr>
            <w:tcW w:type="dxa" w:w="4320"/>
          </w:tcPr>
          <w:p>
            <w:r>
              <w:t>Henry Michels</w:t>
            </w:r>
          </w:p>
        </w:tc>
      </w:tr>
    </w:tbl>
    <w:p>
      <w:r>
        <w:rPr>
          <w:b/>
        </w:rPr>
        <w:t>1. Purpose</w:t>
      </w:r>
    </w:p>
    <w:p>
      <w:r>
        <w:t>This procedure explains how Webtree Academy creates, maintains, stores, transfers, and archives student academic records for TAS2O. It covers the Ontario Student Record (OSR), Ontario Student Transcript (OST), reporting records, and related student progression requirements that may be reviewed during inspection.</w:t>
      </w:r>
    </w:p>
    <w:p>
      <w:r>
        <w:rPr>
          <w:b/>
        </w:rPr>
        <w:t>2. Definitions</w:t>
      </w:r>
    </w:p>
    <w:p>
      <w:pPr>
        <w:pStyle w:val="ListBullet"/>
      </w:pPr>
      <w:r>
        <w:t>OSR: Ontario Student Record, the confidential student file maintained by the school.</w:t>
      </w:r>
    </w:p>
    <w:p>
      <w:pPr>
        <w:pStyle w:val="ListBullet"/>
      </w:pPr>
      <w:r>
        <w:t>OST: Ontario Student Transcript, the official transcript record used for secondary credit tracking.</w:t>
      </w:r>
    </w:p>
    <w:p>
      <w:pPr>
        <w:pStyle w:val="ListBullet"/>
      </w:pPr>
      <w:r>
        <w:t>Supporting records: report cards, markbook evidence, assessment artifacts, attendance summaries, conference notes, and related administrative records.</w:t>
      </w:r>
    </w:p>
    <w:p>
      <w:r>
        <w:rPr>
          <w:b/>
        </w:rPr>
        <w:t>3. OSR Creation and Maintenance</w:t>
      </w:r>
    </w:p>
    <w:p>
      <w:pPr>
        <w:pStyle w:val="ListBullet"/>
      </w:pPr>
      <w:r>
        <w:t>An OSR is opened when a student is enrolled and must be kept in a secure location with access limited to authorized school personnel.</w:t>
      </w:r>
    </w:p>
    <w:p>
      <w:pPr>
        <w:pStyle w:val="ListBullet"/>
      </w:pPr>
      <w:r>
        <w:t>The OSR should contain enrollment information, emergency contacts, consent forms, report card copies, attendance summaries, assessment records, and other school-approved documentation.</w:t>
      </w:r>
    </w:p>
    <w:p>
      <w:pPr>
        <w:pStyle w:val="ListBullet"/>
      </w:pPr>
      <w:r>
        <w:t>The teacher and administrator must ensure that TAS2O records are filed consistently and that confidential information is not shared outside approved channels.</w:t>
      </w:r>
    </w:p>
    <w:p>
      <w:pPr>
        <w:pStyle w:val="ListBullet"/>
      </w:pPr>
      <w:r>
        <w:t>Records must be accurate, dated, and updated when student status changes.</w:t>
      </w:r>
    </w:p>
    <w:p>
      <w:r>
        <w:rPr>
          <w:b/>
        </w:rPr>
        <w:t>4. OST and Credit Record Procedure</w:t>
      </w:r>
    </w:p>
    <w:p>
      <w:pPr>
        <w:pStyle w:val="ListBullet"/>
      </w:pPr>
      <w:r>
        <w:t>When a student earns a TAS2O credit, the final mark and course information are entered into the school record system and retained with the OSR/OST file set.</w:t>
      </w:r>
    </w:p>
    <w:p>
      <w:pPr>
        <w:pStyle w:val="ListBullet"/>
      </w:pPr>
      <w:r>
        <w:t>Report cards, final marks, and credit decisions are filed so the school can reconstruct the basis for each credit award during inspection or transcript review.</w:t>
      </w:r>
    </w:p>
    <w:p>
      <w:pPr>
        <w:pStyle w:val="ListBullet"/>
      </w:pPr>
      <w:r>
        <w:t>Any course withdrawal, transfer, or late entry must be documented clearly so the transcript history remains complete and auditable.</w:t>
      </w:r>
    </w:p>
    <w:p>
      <w:r>
        <w:rPr>
          <w:b/>
        </w:rPr>
        <w:t>5. Transfer, Withdrawal, Retention, and Destruction</w:t>
      </w:r>
    </w:p>
    <w:p>
      <w:pPr>
        <w:pStyle w:val="ListBullet"/>
      </w:pPr>
      <w:r>
        <w:t>If a student transfers to another school, the OSR and transcript-related records are transferred according to school procedure and applicable Ministry expectations.</w:t>
      </w:r>
    </w:p>
    <w:p>
      <w:pPr>
        <w:pStyle w:val="ListBullet"/>
      </w:pPr>
      <w:r>
        <w:t>If the school closes or a record is no longer required, retention and destruction follow school policy and legal requirements for confidentiality and secure disposal.</w:t>
      </w:r>
    </w:p>
    <w:p>
      <w:pPr>
        <w:pStyle w:val="ListBullet"/>
      </w:pPr>
      <w:r>
        <w:t>No student record may be destroyed without an approved retention process and administrative sign-off.</w:t>
      </w:r>
    </w:p>
    <w:p>
      <w:r>
        <w:rPr>
          <w:b/>
        </w:rPr>
        <w:t>6. OSSLT / OSSLC Procedure</w:t>
      </w:r>
    </w:p>
    <w:p>
      <w:pPr>
        <w:pStyle w:val="ListBullet"/>
      </w:pPr>
      <w:r>
        <w:t>The school should identify which students are eligible or required to participate in the Ontario Secondary School Literacy Test (OSSLT) or related literacy support process.</w:t>
      </w:r>
    </w:p>
    <w:p>
      <w:pPr>
        <w:pStyle w:val="ListBullet"/>
      </w:pPr>
      <w:r>
        <w:t>Students who need literacy support should be directed to appropriate instruction, practice opportunities, and administrative follow-up according to school procedure.</w:t>
      </w:r>
    </w:p>
    <w:p>
      <w:pPr>
        <w:pStyle w:val="ListBullet"/>
      </w:pPr>
      <w:r>
        <w:t>The teacher should refer students to the principal or academic lead for timetable, accommodation, and communication support if the literacy requirement affects course sequencing or graduation planning.</w:t>
      </w:r>
    </w:p>
    <w:p>
      <w:pPr>
        <w:pStyle w:val="ListBullet"/>
      </w:pPr>
      <w:r>
        <w:t>Any OSSLT-related note in the OSR should be filed confidentially with the student record.</w:t>
      </w:r>
    </w:p>
    <w:p>
      <w:r>
        <w:rPr>
          <w:b/>
        </w:rPr>
        <w:t>7. Community Involvement 40-Hour Procedure</w:t>
      </w:r>
    </w:p>
    <w:p>
      <w:pPr>
        <w:pStyle w:val="ListBullet"/>
      </w:pPr>
      <w:r>
        <w:t>Students complete community involvement hours outside scheduled TAS2O class time according to school and Ministry requirements.</w:t>
      </w:r>
    </w:p>
    <w:p>
      <w:pPr>
        <w:pStyle w:val="ListBullet"/>
      </w:pPr>
      <w:r>
        <w:t>The school should provide a log form or approved template so students can record activity, supervising organization, date, hours, and approval signature.</w:t>
      </w:r>
    </w:p>
    <w:p>
      <w:pPr>
        <w:pStyle w:val="ListBullet"/>
      </w:pPr>
      <w:r>
        <w:t>The academic lead or designated reviewer should confirm that approved activities are eligible before the student claims the hours.</w:t>
      </w:r>
    </w:p>
    <w:p>
      <w:pPr>
        <w:pStyle w:val="ListBullet"/>
      </w:pPr>
      <w:r>
        <w:t>Community involvement records should be retained with student progression documentation and filed securely.</w:t>
      </w:r>
    </w:p>
    <w:p>
      <w:r>
        <w:rPr>
          <w:b/>
        </w:rPr>
        <w:t>8. Roles and Responsibilities</w:t>
      </w:r>
    </w:p>
    <w:p>
      <w:pPr>
        <w:pStyle w:val="ListBullet"/>
      </w:pPr>
      <w:r>
        <w:t>Principal / academic lead: approve the procedure, review exceptions, and ensure records practices are followed.</w:t>
      </w:r>
    </w:p>
    <w:p>
      <w:pPr>
        <w:pStyle w:val="ListBullet"/>
      </w:pPr>
      <w:r>
        <w:t>Teacher: maintain course evidence, file report card support records, and flag missing or inconsistent student documentation.</w:t>
      </w:r>
    </w:p>
    <w:p>
      <w:pPr>
        <w:pStyle w:val="ListBullet"/>
      </w:pPr>
      <w:r>
        <w:t>Administrative staff: store records securely, manage transfers, and keep the file index current.</w:t>
      </w:r>
    </w:p>
    <w:p>
      <w:r>
        <w:rPr>
          <w:b/>
        </w:rPr>
        <w:t>9. Appendix A - OSR Contents Checklist</w:t>
      </w:r>
    </w:p>
    <w:p>
      <w:pPr>
        <w:pStyle w:val="ListBullet"/>
      </w:pPr>
      <w:r>
        <w:t>Enrollment or registration information</w:t>
      </w:r>
    </w:p>
    <w:p>
      <w:pPr>
        <w:pStyle w:val="ListBullet"/>
      </w:pPr>
      <w:r>
        <w:t>Consent forms and contact information</w:t>
      </w:r>
    </w:p>
    <w:p>
      <w:pPr>
        <w:pStyle w:val="ListBullet"/>
      </w:pPr>
      <w:r>
        <w:t>Report card copies and final marks</w:t>
      </w:r>
    </w:p>
    <w:p>
      <w:pPr>
        <w:pStyle w:val="ListBullet"/>
      </w:pPr>
      <w:r>
        <w:t>Attendance summaries and course completion evidence</w:t>
      </w:r>
    </w:p>
    <w:p>
      <w:pPr>
        <w:pStyle w:val="ListBullet"/>
      </w:pPr>
      <w:r>
        <w:t>Assessment and credit support records</w:t>
      </w:r>
    </w:p>
    <w:p>
      <w:pPr>
        <w:pStyle w:val="ListBullet"/>
      </w:pPr>
      <w:r>
        <w:t>Transcript-related notes and administrative correspondence</w:t>
      </w:r>
    </w:p>
    <w:p>
      <w:r>
        <w:rPr>
          <w:b/>
        </w:rPr>
        <w:t>10. Appendix B - Community Involvement Log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 / Range</w:t>
            </w:r>
          </w:p>
        </w:tc>
        <w:tc>
          <w:tcPr>
            <w:tcW w:type="dxa" w:w="2160"/>
          </w:tcPr>
          <w:p>
            <w:r>
              <w:t>Activity / Organization</w:t>
            </w:r>
          </w:p>
        </w:tc>
        <w:tc>
          <w:tcPr>
            <w:tcW w:type="dxa" w:w="2160"/>
          </w:tcPr>
          <w:p>
            <w:r>
              <w:t>Hours</w:t>
            </w:r>
          </w:p>
        </w:tc>
        <w:tc>
          <w:tcPr>
            <w:tcW w:type="dxa" w:w="2160"/>
          </w:tcPr>
          <w:p>
            <w:r>
              <w:t>Supervisor / Approval</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rPr>
          <w:b/>
        </w:rPr>
        <w:t>11. Sign-Off</w:t>
      </w:r>
    </w:p>
    <w:tbl>
      <w:tblPr>
        <w:tblStyle w:val="TableGrid"/>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Carlos Chen</w:t>
            </w:r>
          </w:p>
        </w:tc>
      </w:tr>
      <w:tr>
        <w:tc>
          <w:tcPr>
            <w:tcW w:type="dxa" w:w="4320"/>
          </w:tcPr>
          <w:p>
            <w:r>
              <w:t>Principal</w:t>
            </w:r>
          </w:p>
        </w:tc>
        <w:tc>
          <w:tcPr>
            <w:tcW w:type="dxa" w:w="4320"/>
          </w:tcPr>
          <w:p>
            <w:r>
              <w:t>Henry Michels</w:t>
            </w:r>
          </w:p>
        </w:tc>
      </w:tr>
      <w:tr>
        <w:tc>
          <w:tcPr>
            <w:tcW w:type="dxa" w:w="4320"/>
          </w:tcPr>
          <w:p>
            <w:r>
              <w:t>Date</w:t>
            </w:r>
          </w:p>
        </w:tc>
        <w:tc>
          <w:tcPr>
            <w:tcW w:type="dxa" w:w="4320"/>
          </w:tcPr>
          <w:p>
            <w:r>
              <w:t>2026-05-12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