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TAS2O School Pre-Inspection Package Checklist</w:t>
      </w:r>
    </w:p>
    <w:p>
      <w:pPr>
        <w:jc w:val="center"/>
      </w:pPr>
      <w:r>
        <w:rPr>
          <w:b/>
          <w:sz w:val="24"/>
        </w:rPr>
        <w:t>Technology and the Skilled Trades, Grade 10, Open, 1 Credit</w:t>
      </w:r>
    </w:p>
    <w:p>
      <w:pPr>
        <w:jc w:val="center"/>
      </w:pPr>
      <w:r>
        <w:rPr>
          <w:i/>
          <w:sz w:val="20"/>
        </w:rPr>
        <w:t>AI-Enhanced Delivery Model | School-Level Readiness Document</w:t>
      </w:r>
    </w:p>
    <w:p>
      <w:r>
        <w:t>School Name: Webtree Academy</w:t>
      </w:r>
    </w:p>
    <w:p>
      <w:r>
        <w:t>BSID: 883796</w:t>
      </w:r>
    </w:p>
    <w:p>
      <w:r>
        <w:t>Principal: Henry Michels</w:t>
      </w:r>
    </w:p>
    <w:p>
      <w:r>
        <w:t>Course Teacher(s): Carlos Chen</w:t>
      </w:r>
    </w:p>
    <w:p>
      <w:r>
        <w:t>School Year / Semester: Summer 2026 / Term 1 / Term 2</w:t>
      </w:r>
    </w:p>
    <w:p>
      <w:r>
        <w:t>Prepared / Reviewed Date: 2026-05-12</w:t>
      </w:r>
    </w:p>
    <w:p>
      <w:pPr>
        <w:pStyle w:val="Heading1"/>
      </w:pPr>
      <w:r>
        <w:t>1. Purpose of This Checklist</w:t>
      </w:r>
    </w:p>
    <w:p>
      <w:r>
        <w:t>This checklist is designed to help the school prepare for Ministry inspection and internal quality assurance when offering TAS2O as an OSSD credit course. It organizes school-level, course-level, student-record, safety, assessment, and AI-enhanced learning evidence so the principal, teacher, and administrative team can verify readiness before the course begins, during course delivery, and before final credit reporting.</w:t>
      </w:r>
    </w:p>
    <w:p>
      <w:pPr>
        <w:pStyle w:val="Heading1"/>
      </w:pPr>
      <w:r>
        <w:t>2. Scope</w:t>
      </w:r>
    </w:p>
    <w:p>
      <w:pPr>
        <w:pStyle w:val="ListBullet"/>
      </w:pPr>
      <w:r>
        <w:t>Course: TAS2O - Technology and the Skilled Trades, Grade 10, Open.</w:t>
      </w:r>
    </w:p>
    <w:p>
      <w:pPr>
        <w:pStyle w:val="ListBullet"/>
      </w:pPr>
      <w:r>
        <w:t>Credit value: 1.0 OSSD credit, normally scheduled for a minimum of 110 instructional hours.</w:t>
      </w:r>
    </w:p>
    <w:p>
      <w:pPr>
        <w:pStyle w:val="ListBullet"/>
      </w:pPr>
      <w:r>
        <w:t>Delivery model: Hybrid.</w:t>
      </w:r>
    </w:p>
    <w:p>
      <w:pPr>
        <w:pStyle w:val="ListBullet"/>
      </w:pPr>
      <w:r>
        <w:t>This package supplements, but does not replace, the school's full Notice of Intention, School Course Calendar, OSR/OST procedures, assessment policy, and other required school-level policies.</w:t>
      </w:r>
    </w:p>
    <w:p>
      <w:pPr>
        <w:pStyle w:val="ListBullet"/>
      </w:pPr>
      <w:r>
        <w:t>AI-enhanced activities are included as instructional supports while the official Ontario curriculum expectations remain the basis for instruction and evaluation.</w:t>
      </w:r>
    </w:p>
    <w:p>
      <w:pPr>
        <w:pStyle w:val="Heading1"/>
      </w:pPr>
      <w:r>
        <w:t>3. Readiness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880"/>
            <w:vAlign w:val="top"/>
            <w:shd w:fill="D9EAF7"/>
          </w:tcPr>
          <w:p>
            <w:r>
              <w:t>Readiness Area</w:t>
            </w:r>
          </w:p>
        </w:tc>
        <w:tc>
          <w:tcPr>
            <w:tcW w:type="dxa" w:w="5616"/>
            <w:vAlign w:val="top"/>
            <w:shd w:fill="D9EAF7"/>
          </w:tcPr>
          <w:p>
            <w:r>
              <w:t>Minimum Evidence Expected</w:t>
            </w:r>
          </w:p>
        </w:tc>
        <w:tc>
          <w:tcPr>
            <w:tcW w:type="dxa" w:w="1080"/>
            <w:vAlign w:val="top"/>
            <w:shd w:fill="D9EAF7"/>
          </w:tcPr>
          <w:p>
            <w:r>
              <w:t>Ready?</w:t>
            </w:r>
          </w:p>
        </w:tc>
        <w:tc>
          <w:tcPr>
            <w:tcW w:type="dxa" w:w="1944"/>
            <w:vAlign w:val="top"/>
            <w:shd w:fill="D9EAF7"/>
          </w:tcPr>
          <w:p>
            <w:r>
              <w:t>Comments</w:t>
            </w:r>
          </w:p>
        </w:tc>
      </w:tr>
      <w:tr>
        <w:tc>
          <w:tcPr>
            <w:tcW w:type="dxa" w:w="2880"/>
            <w:vAlign w:val="top"/>
          </w:tcPr>
          <w:p>
            <w:r>
              <w:t>School authority and administration</w:t>
            </w:r>
          </w:p>
        </w:tc>
        <w:tc>
          <w:tcPr>
            <w:tcW w:type="dxa" w:w="5616"/>
            <w:vAlign w:val="top"/>
          </w:tcPr>
          <w:p>
            <w:r>
              <w:t>NOI status, BSID, principal information, inspection request status, school calendar.</w:t>
            </w:r>
          </w:p>
        </w:tc>
        <w:tc>
          <w:tcPr>
            <w:tcW w:type="dxa" w:w="1080"/>
            <w:vAlign w:val="top"/>
          </w:tcPr>
          <w:p>
            <w:r>
              <w:t>Pending</w:t>
            </w:r>
          </w:p>
        </w:tc>
        <w:tc>
          <w:tcPr>
            <w:tcW w:type="dxa" w:w="1944"/>
            <w:vAlign w:val="top"/>
          </w:tcPr>
          <w:p>
            <w:r/>
          </w:p>
        </w:tc>
      </w:tr>
      <w:tr>
        <w:tc>
          <w:tcPr>
            <w:tcW w:type="dxa" w:w="2880"/>
            <w:vAlign w:val="top"/>
          </w:tcPr>
          <w:p>
            <w:r>
              <w:t>Course documentation</w:t>
            </w:r>
          </w:p>
        </w:tc>
        <w:tc>
          <w:tcPr>
            <w:tcW w:type="dxa" w:w="5616"/>
            <w:vAlign w:val="top"/>
          </w:tcPr>
          <w:p>
            <w:r>
              <w:t>Course outline, 110-hour pacing guide, curriculum mapping, unit plans, assignments, rubrics.</w:t>
            </w:r>
          </w:p>
        </w:tc>
        <w:tc>
          <w:tcPr>
            <w:tcW w:type="dxa" w:w="1080"/>
            <w:vAlign w:val="top"/>
          </w:tcPr>
          <w:p>
            <w:r>
              <w:t>Pending</w:t>
            </w:r>
          </w:p>
        </w:tc>
        <w:tc>
          <w:tcPr>
            <w:tcW w:type="dxa" w:w="1944"/>
            <w:vAlign w:val="top"/>
          </w:tcPr>
          <w:p>
            <w:r/>
          </w:p>
        </w:tc>
      </w:tr>
      <w:tr>
        <w:tc>
          <w:tcPr>
            <w:tcW w:type="dxa" w:w="2880"/>
            <w:vAlign w:val="top"/>
          </w:tcPr>
          <w:p>
            <w:r>
              <w:t>Assessment and credit reporting</w:t>
            </w:r>
          </w:p>
        </w:tc>
        <w:tc>
          <w:tcPr>
            <w:tcW w:type="dxa" w:w="5616"/>
            <w:vAlign w:val="top"/>
          </w:tcPr>
          <w:p>
            <w:r>
              <w:t>Markbook template, report card template, final grade calculation, credit reporting procedure.</w:t>
            </w:r>
          </w:p>
        </w:tc>
        <w:tc>
          <w:tcPr>
            <w:tcW w:type="dxa" w:w="1080"/>
            <w:vAlign w:val="top"/>
          </w:tcPr>
          <w:p>
            <w:r>
              <w:t>Pending</w:t>
            </w:r>
          </w:p>
        </w:tc>
        <w:tc>
          <w:tcPr>
            <w:tcW w:type="dxa" w:w="1944"/>
            <w:vAlign w:val="top"/>
          </w:tcPr>
          <w:p>
            <w:r/>
          </w:p>
        </w:tc>
      </w:tr>
      <w:tr>
        <w:tc>
          <w:tcPr>
            <w:tcW w:type="dxa" w:w="2880"/>
            <w:vAlign w:val="top"/>
          </w:tcPr>
          <w:p>
            <w:r>
              <w:t>Student records</w:t>
            </w:r>
          </w:p>
        </w:tc>
        <w:tc>
          <w:tcPr>
            <w:tcW w:type="dxa" w:w="5616"/>
            <w:vAlign w:val="top"/>
          </w:tcPr>
          <w:p>
            <w:r>
              <w:t>OEN collection, OSR/OST process, enrolment records, attendance and make-up hours, community involvement hours, and OSSLT/OSSLC support notes.</w:t>
            </w:r>
          </w:p>
        </w:tc>
        <w:tc>
          <w:tcPr>
            <w:tcW w:type="dxa" w:w="1080"/>
            <w:vAlign w:val="top"/>
          </w:tcPr>
          <w:p>
            <w:r>
              <w:t>Pending</w:t>
            </w:r>
          </w:p>
        </w:tc>
        <w:tc>
          <w:tcPr>
            <w:tcW w:type="dxa" w:w="1944"/>
            <w:vAlign w:val="top"/>
          </w:tcPr>
          <w:p>
            <w:r/>
          </w:p>
        </w:tc>
      </w:tr>
      <w:tr>
        <w:tc>
          <w:tcPr>
            <w:tcW w:type="dxa" w:w="2880"/>
            <w:vAlign w:val="top"/>
          </w:tcPr>
          <w:p>
            <w:r>
              <w:t>Safety and facilities</w:t>
            </w:r>
          </w:p>
        </w:tc>
        <w:tc>
          <w:tcPr>
            <w:tcW w:type="dxa" w:w="5616"/>
            <w:vAlign w:val="top"/>
          </w:tcPr>
          <w:p>
            <w:r>
              <w:t>Safety package, PPE, tool inventory, risk assessment, emergency procedures.</w:t>
            </w:r>
          </w:p>
        </w:tc>
        <w:tc>
          <w:tcPr>
            <w:tcW w:type="dxa" w:w="1080"/>
            <w:vAlign w:val="top"/>
          </w:tcPr>
          <w:p>
            <w:r>
              <w:t>Pending</w:t>
            </w:r>
          </w:p>
        </w:tc>
        <w:tc>
          <w:tcPr>
            <w:tcW w:type="dxa" w:w="1944"/>
            <w:vAlign w:val="top"/>
          </w:tcPr>
          <w:p>
            <w:r/>
          </w:p>
        </w:tc>
      </w:tr>
      <w:tr>
        <w:tc>
          <w:tcPr>
            <w:tcW w:type="dxa" w:w="2880"/>
            <w:vAlign w:val="top"/>
          </w:tcPr>
          <w:p>
            <w:r>
              <w:t>AI and academic integrity</w:t>
            </w:r>
          </w:p>
        </w:tc>
        <w:tc>
          <w:tcPr>
            <w:tcW w:type="dxa" w:w="5616"/>
            <w:vAlign w:val="top"/>
          </w:tcPr>
          <w:p>
            <w:r>
              <w:t>AI policy, AI Use Log, student declaration, teacher verification workflow.</w:t>
            </w:r>
          </w:p>
        </w:tc>
        <w:tc>
          <w:tcPr>
            <w:tcW w:type="dxa" w:w="1080"/>
            <w:vAlign w:val="top"/>
          </w:tcPr>
          <w:p>
            <w:r>
              <w:t>Pending</w:t>
            </w:r>
          </w:p>
        </w:tc>
        <w:tc>
          <w:tcPr>
            <w:tcW w:type="dxa" w:w="1944"/>
            <w:vAlign w:val="top"/>
          </w:tcPr>
          <w:p>
            <w:r/>
          </w:p>
        </w:tc>
      </w:tr>
      <w:tr>
        <w:tc>
          <w:tcPr>
            <w:tcW w:type="dxa" w:w="2880"/>
            <w:vAlign w:val="top"/>
          </w:tcPr>
          <w:p>
            <w:r>
              <w:t>Teacher readiness</w:t>
            </w:r>
          </w:p>
        </w:tc>
        <w:tc>
          <w:tcPr>
            <w:tcW w:type="dxa" w:w="5616"/>
            <w:vAlign w:val="top"/>
          </w:tcPr>
          <w:p>
            <w:r>
              <w:t>Teacher resume, training records, lesson preparation, safety supervision plan.</w:t>
            </w:r>
          </w:p>
        </w:tc>
        <w:tc>
          <w:tcPr>
            <w:tcW w:type="dxa" w:w="1080"/>
            <w:vAlign w:val="top"/>
          </w:tcPr>
          <w:p>
            <w:r>
              <w:t>Pending</w:t>
            </w:r>
          </w:p>
        </w:tc>
        <w:tc>
          <w:tcPr>
            <w:tcW w:type="dxa" w:w="1944"/>
            <w:vAlign w:val="top"/>
          </w:tcPr>
          <w:p>
            <w:r/>
          </w:p>
        </w:tc>
      </w:tr>
      <w:tr>
        <w:tc>
          <w:tcPr>
            <w:tcW w:type="dxa" w:w="2880"/>
            <w:vAlign w:val="top"/>
          </w:tcPr>
          <w:p>
            <w:r>
              <w:t>Student evidence collection</w:t>
            </w:r>
          </w:p>
        </w:tc>
        <w:tc>
          <w:tcPr>
            <w:tcW w:type="dxa" w:w="5616"/>
            <w:vAlign w:val="top"/>
          </w:tcPr>
          <w:p>
            <w:r>
              <w:t>Portfolio structure, work sample plan, feedback evidence, final evaluation evidence.</w:t>
            </w:r>
          </w:p>
        </w:tc>
        <w:tc>
          <w:tcPr>
            <w:tcW w:type="dxa" w:w="1080"/>
            <w:vAlign w:val="top"/>
          </w:tcPr>
          <w:p>
            <w:r>
              <w:t>Pending</w:t>
            </w:r>
          </w:p>
        </w:tc>
        <w:tc>
          <w:tcPr>
            <w:tcW w:type="dxa" w:w="1944"/>
            <w:vAlign w:val="top"/>
          </w:tcPr>
          <w:p>
            <w:r/>
          </w:p>
        </w:tc>
      </w:tr>
    </w:tbl>
    <w:p>
      <w:pPr>
        <w:pStyle w:val="Heading1"/>
      </w:pPr>
      <w:r>
        <w:t>4. School-Level Submission and Administration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800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Section</w:t>
            </w:r>
          </w:p>
        </w:tc>
        <w:tc>
          <w:tcPr>
            <w:tcW w:type="dxa" w:w="4608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Required / Recommended Evidence</w:t>
            </w:r>
          </w:p>
        </w:tc>
        <w:tc>
          <w:tcPr>
            <w:tcW w:type="dxa" w:w="1080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Status</w:t>
            </w:r>
          </w:p>
        </w:tc>
        <w:tc>
          <w:tcPr>
            <w:tcW w:type="dxa" w:w="1224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Owner</w:t>
            </w:r>
          </w:p>
        </w:tc>
        <w:tc>
          <w:tcPr>
            <w:tcW w:type="dxa" w:w="1944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Notes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School identity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Current school name, address, contact information, BSID if applicable, owner/operator and principal details.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Webtree Academy Admin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Notice of Intention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Annual Notice of Intention to operate submitted or prepared according to Ministry timing requirements.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Henry Michels / Webtree Academy Admin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Inspection request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If the school intends to grant OSSD credits, inspection request status and related correspondence are filed.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Henry Michels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School Course Calendar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Full School Course Calendar prepared and updated to include TAS2O course offering and school policies.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Henry Michels / Webtree Academy Admin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School year calendar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School year calendar shows term dates, holidays, final evaluation period, report card dates, and key deadlines.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Webtree Academy Admin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Master timetable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Master timetable shows TAS2O class schedule, teacher, room/lab, instructional minutes, start/end dates.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Webtree Academy Admin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Course calendar addendum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TAS2O School Course Calendar Addendum inserted or cross-referenced in the full calendar.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Principal/Teacher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Policy alignment</w:t>
            </w:r>
          </w:p>
        </w:tc>
        <w:tc>
          <w:tcPr>
            <w:tcW w:type="dxa" w:w="4608"/>
            <w:vAlign w:val="top"/>
          </w:tcPr>
          <w:p>
            <w:r>
              <w:t>Assessment, attendance, academic honesty, use of approved AI tools, safety, accommodations, late/missed work, OSR/OST, OSSLT/OSSLC, and community involvement policies are consistent across documents.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Henry Michels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</w:tbl>
    <w:p>
      <w:pPr>
        <w:pStyle w:val="Heading1"/>
      </w:pPr>
      <w:r>
        <w:t>5. TAS2O Course-Level Documentation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800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Section</w:t>
            </w:r>
          </w:p>
        </w:tc>
        <w:tc>
          <w:tcPr>
            <w:tcW w:type="dxa" w:w="4608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Required / Recommended Evidence</w:t>
            </w:r>
          </w:p>
        </w:tc>
        <w:tc>
          <w:tcPr>
            <w:tcW w:type="dxa" w:w="1080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Status</w:t>
            </w:r>
          </w:p>
        </w:tc>
        <w:tc>
          <w:tcPr>
            <w:tcW w:type="dxa" w:w="1224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Owner</w:t>
            </w:r>
          </w:p>
        </w:tc>
        <w:tc>
          <w:tcPr>
            <w:tcW w:type="dxa" w:w="1944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Notes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Course outline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TAS2O Course Outline includes title page, course description, curriculum expectations, unit breakdown, assessment plan, program planning considerations, resources.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 / Henry Michels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110-hour plan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Pacing guide shows 110 hours with unit hours, weekly sequence, major tasks, and final evaluation.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Curriculum mapping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Expectation coverage chart maps official expectations to units, assignments, assessments, and student evidence.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Unit plans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Six unit plans include learning goals, success criteria, lesson sequence, resources, assessment evidence, safety, accommodations, AI integration.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Assignments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Major Assignments Package includes clear student-facing instructions, deliverables, success criteria, AI rules, and submission requirements.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Rubrics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Rubrics Package uses achievement chart categories and Level 1-4 performance descriptors.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Final evaluation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Capstone prototype, portfolio, and presentation package is ready and aligned with the final 30 percent evaluation plan.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Teacher exemplars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Teacher-created exemplars are available until real student samples can be collected.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</w:tbl>
    <w:p>
      <w:pPr>
        <w:pStyle w:val="Heading1"/>
      </w:pPr>
      <w:r>
        <w:t>6. Assessment, Evaluation, and Credit Reporting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800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Section</w:t>
            </w:r>
          </w:p>
        </w:tc>
        <w:tc>
          <w:tcPr>
            <w:tcW w:type="dxa" w:w="4608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Required / Recommended Evidence</w:t>
            </w:r>
          </w:p>
        </w:tc>
        <w:tc>
          <w:tcPr>
            <w:tcW w:type="dxa" w:w="1080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Status</w:t>
            </w:r>
          </w:p>
        </w:tc>
        <w:tc>
          <w:tcPr>
            <w:tcW w:type="dxa" w:w="1224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Owner</w:t>
            </w:r>
          </w:p>
        </w:tc>
        <w:tc>
          <w:tcPr>
            <w:tcW w:type="dxa" w:w="1944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Notes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Assessment plan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70 percent term work and 30 percent final evaluation are clearly described and consistent across course documents.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Markbook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Markbook or gradebook template is ready and reflects assessment categories, weights, due dates, and evidence sources.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Final grade calculation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Final grade calculation sheet identifies term work, final evaluation components, final percentage, and credit recommendation.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 / Henry Michels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Report cards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Interim and final report card templates are prepared with course code, title, credit value, percentage grade, comments, attendance, and learning skills.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Admin/Principal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Feedback evidence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Teacher feedback system is prepared: rubric feedback, conferencing notes, revision records, LMS comments, or portfolio comments.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Missing/late tracking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Process for late, missed, incomplete, or unsafe work is documented and consistent with school policy.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 / Webtree Academy Admin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Credit reporting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Procedure is ready for entering TAS2O credit into the student record or sending final credit results to the OSR-holding school.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Admin/Principal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Retention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Assessment records, student work samples, rubrics, attendance, and final evaluation evidence retention process is documented.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Webtree Academy Admin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</w:tbl>
    <w:p>
      <w:pPr>
        <w:pStyle w:val="Heading1"/>
      </w:pPr>
      <w:r>
        <w:t>7. Student Records and Attendance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800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Section</w:t>
            </w:r>
          </w:p>
        </w:tc>
        <w:tc>
          <w:tcPr>
            <w:tcW w:type="dxa" w:w="4608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Required / Recommended Evidence</w:t>
            </w:r>
          </w:p>
        </w:tc>
        <w:tc>
          <w:tcPr>
            <w:tcW w:type="dxa" w:w="1080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Status</w:t>
            </w:r>
          </w:p>
        </w:tc>
        <w:tc>
          <w:tcPr>
            <w:tcW w:type="dxa" w:w="1224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Owner</w:t>
            </w:r>
          </w:p>
        </w:tc>
        <w:tc>
          <w:tcPr>
            <w:tcW w:type="dxa" w:w="1944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Notes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Enrolment record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Student legal name, date of birth, contact information, parent/guardian information, and emergency contact collected.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Webtree Academy Admin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OEN/OSR status</w:t>
            </w:r>
          </w:p>
        </w:tc>
        <w:tc>
          <w:tcPr>
            <w:tcW w:type="dxa" w:w="4608"/>
            <w:vAlign w:val="top"/>
          </w:tcPr>
          <w:p>
            <w:r>
              <w:t>OEN and OSR/OST location are verified or documented; procedures are ready for students whose OSR is held elsewhere.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Webtree Academy Admin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Prerequisite check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TAS2O has no prerequisite; this is noted in enrolment and course calendar materials.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Admin/Teacher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Attendance log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Daily attendance template or SIS setup records instructional minutes, absences, lates, make-up hours, and teacher verification.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 / Webtree Academy Admin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110-hour evidence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Course schedule and attendance evidence together demonstrate sufficient instructional hours for enrolled students.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Principal/Teacher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Online/blended evidence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If applicable, LMS activity, synchronous attendance, submissions, teacher feedback, and time-on-task evidence are collected.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Student portfolio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Each student has a portfolio structure for major tasks, AI logs, safety evidence, photos, videos, testing data, and final reflection.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2074"/>
          </w:tcPr>
          <w:p>
            <w:r>
              <w:t>Literacy and community involvement</w:t>
            </w:r>
          </w:p>
        </w:tc>
        <w:tc>
          <w:tcPr>
            <w:tcW w:type="dxa" w:w="2074"/>
          </w:tcPr>
          <w:p>
            <w:r>
              <w:t>OSSLT / OSSLC procedure and community involvement 40-hour log template are ready for student guidance and record keeping.</w:t>
            </w:r>
          </w:p>
        </w:tc>
        <w:tc>
          <w:tcPr>
            <w:tcW w:type="dxa" w:w="2074"/>
          </w:tcPr>
          <w:p>
            <w:r>
              <w:t>Pending</w:t>
            </w:r>
          </w:p>
        </w:tc>
        <w:tc>
          <w:tcPr>
            <w:tcW w:type="dxa" w:w="2074"/>
          </w:tcPr>
          <w:p>
            <w:r>
              <w:t>Admin/Teacher</w:t>
            </w:r>
          </w:p>
        </w:tc>
        <w:tc>
          <w:tcPr>
            <w:tcW w:type="dxa" w:w="2074"/>
          </w:tcPr>
          <w:p>
            <w:r>
              <w:t>Prepare before students need credit, literacy support, or hour tracking.</w:t>
            </w:r>
          </w:p>
        </w:tc>
      </w:tr>
    </w:tbl>
    <w:p>
      <w:pPr>
        <w:pStyle w:val="Heading1"/>
      </w:pPr>
      <w:r>
        <w:t>8. Safety, Facilities, and Equipment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800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Section</w:t>
            </w:r>
          </w:p>
        </w:tc>
        <w:tc>
          <w:tcPr>
            <w:tcW w:type="dxa" w:w="4608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Required / Recommended Evidence</w:t>
            </w:r>
          </w:p>
        </w:tc>
        <w:tc>
          <w:tcPr>
            <w:tcW w:type="dxa" w:w="1080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Status</w:t>
            </w:r>
          </w:p>
        </w:tc>
        <w:tc>
          <w:tcPr>
            <w:tcW w:type="dxa" w:w="1224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Owner</w:t>
            </w:r>
          </w:p>
        </w:tc>
        <w:tc>
          <w:tcPr>
            <w:tcW w:type="dxa" w:w="1944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Notes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Room readiness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Classroom/lab is inspected before course launch: exits, workspace, cords, storage, ventilation, first aid, fire safety, capacity.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 / Webtree Academy Admin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PPE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Safety glasses, gloves if needed, cutting mats, signage, and PPE storage are prepared.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 / Webtree Academy Admin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Safety contract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Student safety contract and parent practical-course acknowledgement are ready for signature before hands-on work.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Tool SOPs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Tool safety checklists or SOPs are ready for measuring tools, hand tools, cutting tools, heat tools, low-voltage electronics, soldering, 3D printer, and powered tools if used.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Training records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Safety training record template tracks demonstration, student practice, teacher sign-off, and restrictions.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Risk assessments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Activity risk assessment template is used before practical labs, prototype testing, and capstone demos.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Incident procedure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Incident and near-miss report forms are ready; emergency procedures are posted and reviewed.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Principal/Teacher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Equipment inventory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Equipment inventory and maintenance log are prepared; unsafe or missing equipment is removed from use.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 / Webtree Academy Admin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</w:tbl>
    <w:p>
      <w:pPr>
        <w:pStyle w:val="Heading1"/>
      </w:pPr>
      <w:r>
        <w:t>9. AI Use and Academic Integrity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800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Section</w:t>
            </w:r>
          </w:p>
        </w:tc>
        <w:tc>
          <w:tcPr>
            <w:tcW w:type="dxa" w:w="4608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Required / Recommended Evidence</w:t>
            </w:r>
          </w:p>
        </w:tc>
        <w:tc>
          <w:tcPr>
            <w:tcW w:type="dxa" w:w="1080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Status</w:t>
            </w:r>
          </w:p>
        </w:tc>
        <w:tc>
          <w:tcPr>
            <w:tcW w:type="dxa" w:w="1224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Owner</w:t>
            </w:r>
          </w:p>
        </w:tc>
        <w:tc>
          <w:tcPr>
            <w:tcW w:type="dxa" w:w="1944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Notes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AI policy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Student-facing use of approved AI tools rules are included in onboarding materials and assignment sheets.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 / Henry Michels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Parent communication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Parent/guardian AI information letter explains permitted uses, prohibited uses, verification, and privacy expectations.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Admin/Teacher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AI Use Log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AI Use Log template is required for AI-supported assignments and capstone work.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Verification checklist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Students verify safety, technical, career, and design information using teacher guidance or reliable references.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Assessment controls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Major assessments include in-class checkpoints, demonstrations, conferences, drafts, or oral explanation to confirm student understanding.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Privacy controls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Students are instructed not to enter personal, confidential, or identifiable student information into public AI tools.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 / Webtree Academy Admin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Integrity response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Procedure is ready for suspected misuse of AI, undocumented AI assistance, fabricated data, or copied work.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Principal/Teacher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</w:tbl>
    <w:p>
      <w:pPr>
        <w:pStyle w:val="Heading1"/>
      </w:pPr>
      <w:r>
        <w:t>10. Teacher and Staffing Readiness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800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Section</w:t>
            </w:r>
          </w:p>
        </w:tc>
        <w:tc>
          <w:tcPr>
            <w:tcW w:type="dxa" w:w="4608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Required / Recommended Evidence</w:t>
            </w:r>
          </w:p>
        </w:tc>
        <w:tc>
          <w:tcPr>
            <w:tcW w:type="dxa" w:w="1080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Status</w:t>
            </w:r>
          </w:p>
        </w:tc>
        <w:tc>
          <w:tcPr>
            <w:tcW w:type="dxa" w:w="1224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Owner</w:t>
            </w:r>
          </w:p>
        </w:tc>
        <w:tc>
          <w:tcPr>
            <w:tcW w:type="dxa" w:w="1944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Notes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Teacher assignment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TAS2O teacher is assigned and has access to all course package documents.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Henry Michels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Teacher resume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Teacher resume or qualification summary is filed, including technology, design, skilled trades, safety, AI, or project-based learning experience.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Webtree Academy Admin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Safety readiness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Teacher has reviewed safety package, equipment limitations, emergency procedures, and supervision expectations.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Principal/Teacher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Planning readiness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Teacher has reviewed pacing guide, unit plans, assignment calendar, rubrics, and assessment records package.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Substitute plan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No-tool emergency lesson and substitute teacher safety restrictions are prepared.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 / Webtree Academy Admin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Department/principal review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Principal or department lead reviews and signs off on course readiness before instruction begins.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Henry Michels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</w:tbl>
    <w:p>
      <w:pPr>
        <w:pStyle w:val="Heading1"/>
      </w:pPr>
      <w:r>
        <w:t>11. Before, During, and After Course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944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Timing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Administrative Actions</w:t>
            </w:r>
          </w:p>
        </w:tc>
        <w:tc>
          <w:tcPr>
            <w:tcW w:type="dxa" w:w="3168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Teacher Actions</w:t>
            </w:r>
          </w:p>
        </w:tc>
        <w:tc>
          <w:tcPr>
            <w:tcW w:type="dxa" w:w="3096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Evidence to File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8-12 weeks before launch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Confirm NOI/inspection status, school calendar, staffing, room, equipment budget.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Finalize course outline, pacing guide, unit plans, major assessments.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Draft course package, approval notes, equipment list.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4-6 weeks before launch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Update course calendar, confirm enrolment process, prepare report card templates.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Prepare lesson materials, safety lessons, exemplars, LMS shell.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Calendar addendum, timetable, safety package, LMS screenshots.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Week 1</w:t>
            </w:r>
          </w:p>
        </w:tc>
        <w:tc>
          <w:tcPr>
            <w:tcW w:type="dxa" w:w="2880"/>
            <w:vAlign w:val="top"/>
          </w:tcPr>
          <w:p>
            <w:r>
              <w:t>Collect enrolment, parent acknowledgements, safety contracts, AI declarations, and initial OSR/OST or record-location information where needed.</w:t>
            </w:r>
          </w:p>
        </w:tc>
        <w:tc>
          <w:tcPr>
            <w:tcW w:type="dxa" w:w="3168"/>
            <w:vAlign w:val="top"/>
          </w:tcPr>
          <w:p>
            <w:r>
              <w:t>Teach safety, AI policy, design process, initial diagnostics, and explain OSR/OST, OSSLT, and community involvement procedures to families as applicable.</w:t>
            </w:r>
          </w:p>
        </w:tc>
        <w:tc>
          <w:tcPr>
            <w:tcW w:type="dxa" w:w="3096"/>
            <w:vAlign w:val="top"/>
          </w:tcPr>
          <w:p>
            <w:r>
              <w:t>Signed contracts, attendance, onboarding evidence, and record-procedure notes.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Weeks 2-14</w:t>
            </w:r>
          </w:p>
        </w:tc>
        <w:tc>
          <w:tcPr>
            <w:tcW w:type="dxa" w:w="2880"/>
            <w:vAlign w:val="top"/>
          </w:tcPr>
          <w:p>
            <w:r>
              <w:t>Monitor attendance, collect portfolio evidence, address absences and missing work, and maintain OSR/OST and community-involvement support records as needed.</w:t>
            </w:r>
          </w:p>
        </w:tc>
        <w:tc>
          <w:tcPr>
            <w:tcW w:type="dxa" w:w="3168"/>
            <w:vAlign w:val="top"/>
          </w:tcPr>
          <w:p>
            <w:r>
              <w:t>Deliver units, assess major tasks, provide feedback, collect AI logs and safety records, and support literacy / record-keeping procedures when needed.</w:t>
            </w:r>
          </w:p>
        </w:tc>
        <w:tc>
          <w:tcPr>
            <w:tcW w:type="dxa" w:w="3096"/>
            <w:vAlign w:val="top"/>
          </w:tcPr>
          <w:p>
            <w:r>
              <w:t>Markbook, feedback, student work samples, safety training records, OSR/OST notes, community involvement log, and literacy support notes.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Weeks 15-18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Prepare reporting and record transfer process.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Run capstone, final presentation, final evaluation, final conferencing.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Final portfolios, rubrics, final grade calculation, report card evidence.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After course</w:t>
            </w:r>
          </w:p>
        </w:tc>
        <w:tc>
          <w:tcPr>
            <w:tcW w:type="dxa" w:w="2880"/>
            <w:vAlign w:val="top"/>
          </w:tcPr>
          <w:p>
            <w:r>
              <w:t>Issue report cards, update/transfer credit result, archive records, and confirm OSR/OST and transcript-related filing.</w:t>
            </w:r>
          </w:p>
        </w:tc>
        <w:tc>
          <w:tcPr>
            <w:tcW w:type="dxa" w:w="3168"/>
            <w:vAlign w:val="top"/>
          </w:tcPr>
          <w:p>
            <w:r>
              <w:t>Reflect on course delivery and revise materials; update any community involvement or literacy support notes that affect records.</w:t>
            </w:r>
          </w:p>
        </w:tc>
        <w:tc>
          <w:tcPr>
            <w:tcW w:type="dxa" w:w="3096"/>
            <w:vAlign w:val="top"/>
          </w:tcPr>
          <w:p>
            <w:r>
              <w:t>Final report card, OST/credit procedure evidence, community involvement log, literacy support notes, and revision log.</w:t>
            </w:r>
          </w:p>
        </w:tc>
      </w:tr>
    </w:tbl>
    <w:p>
      <w:pPr>
        <w:pStyle w:val="Heading1"/>
      </w:pPr>
      <w:r>
        <w:t>13. Internal File Structure Recommendation</w:t>
      </w:r>
    </w:p>
    <w:p>
      <w:r>
        <w:rPr>
          <w:rFonts w:ascii="Courier New" w:hAnsi="Courier New" w:eastAsia="Courier New"/>
          <w:sz w:val="16"/>
        </w:rPr>
        <w:t>School_PreInspection_TAS2O/</w:t>
        <w:br/>
        <w:t>├── 00_School_Admin/</w:t>
        <w:br/>
        <w:t>│   ├── NOI_Status_and_Correspondence/</w:t>
        <w:br/>
        <w:t>│   ├── School_Course_Calendar/</w:t>
        <w:br/>
        <w:t>│   ├── School_Year_Calendar/</w:t>
        <w:br/>
        <w:t>│   └── Master_Timetable/</w:t>
        <w:br/>
        <w:t>├── 01_TAS2O_Course_Package/</w:t>
        <w:br/>
        <w:t>│   ├── Course_Outline/</w:t>
        <w:br/>
        <w:t>│   ├── 110_Hour_Pacing_Guide/</w:t>
        <w:br/>
        <w:t>│   ├── Curriculum_Mapping/</w:t>
        <w:br/>
        <w:t>│   ├── Unit_Plans/</w:t>
        <w:br/>
        <w:t>│   ├── Assignments/</w:t>
        <w:br/>
        <w:t>│   └── Rubrics/</w:t>
        <w:br/>
        <w:t>├── 02_Assessment_and_Records/</w:t>
        <w:br/>
        <w:t>│   ├── Markbook/</w:t>
        <w:br/>
        <w:t>│   ├── Report_Cards/</w:t>
        <w:br/>
        <w:t>│   ├── Credit_Reporting/</w:t>
        <w:br/>
        <w:t>│   └── Student_Portfolios/</w:t>
        <w:br/>
        <w:t>├── 03_Safety_and_Facilities/</w:t>
        <w:br/>
        <w:t>│   ├── Safety_Contracts/</w:t>
        <w:br/>
        <w:t>│   ├── Risk_Assessments/</w:t>
        <w:br/>
        <w:t>│   ├── Equipment_Inventory/</w:t>
        <w:br/>
        <w:t>│   └── Incident_Reports/</w:t>
        <w:br/>
        <w:t>├── 04_AI_and_Academic_Integrity/</w:t>
        <w:br/>
        <w:t>│   ├── AI_Policy/</w:t>
        <w:br/>
        <w:t>│   ├── AI_Use_Logs/</w:t>
        <w:br/>
        <w:t>│   └── Verification_Checklists/</w:t>
        <w:br/>
        <w:t>└── 05_Inspection_Evidence/</w:t>
        <w:br/>
        <w:t xml:space="preserve">    ├── Teacher_Exemplars/</w:t>
        <w:br/>
        <w:t xml:space="preserve">    ├── Student_Work_Samples/</w:t>
        <w:br/>
        <w:t xml:space="preserve">    └── Principal_Signoffs/</w:t>
      </w:r>
    </w:p>
    <w:p>
      <w:pPr>
        <w:pStyle w:val="Heading1"/>
      </w:pPr>
      <w:r>
        <w:t>13. Pre-Inspection Conversation Guide</w:t>
      </w:r>
    </w:p>
    <w:p>
      <w:r>
        <w:t>Before an inspection conversation, the principal and TAS2O teacher should be ready to answer the following questions with evidence:</w:t>
      </w:r>
    </w:p>
    <w:p>
      <w:pPr>
        <w:pStyle w:val="ListNumber"/>
      </w:pPr>
      <w:r>
        <w:t>How does TAS2O meet the official Ontario curriculum expectations?</w:t>
      </w:r>
    </w:p>
    <w:p>
      <w:pPr>
        <w:pStyle w:val="ListNumber"/>
      </w:pPr>
      <w:r>
        <w:t>How is the course scheduled for a full credit and how are student hours tracked?</w:t>
      </w:r>
    </w:p>
    <w:p>
      <w:pPr>
        <w:pStyle w:val="ListNumber"/>
      </w:pPr>
      <w:r>
        <w:t>How are safety training and practical-work supervision documented?</w:t>
      </w:r>
    </w:p>
    <w:p>
      <w:pPr>
        <w:pStyle w:val="ListNumber"/>
      </w:pPr>
      <w:r>
        <w:t>How are AI tools used without replacing student learning or assessment evidence?</w:t>
      </w:r>
    </w:p>
    <w:p>
      <w:pPr>
        <w:pStyle w:val="ListNumber"/>
      </w:pPr>
      <w:r>
        <w:t>How are assessment categories, rubrics, and final grades determined?</w:t>
      </w:r>
    </w:p>
    <w:p>
      <w:pPr>
        <w:pStyle w:val="ListNumber"/>
      </w:pPr>
      <w:r>
        <w:t>How are student portfolios, prototypes, testing data, feedback, and final evaluation evidence retained?</w:t>
      </w:r>
    </w:p>
    <w:p>
      <w:pPr>
        <w:pStyle w:val="ListNumber"/>
      </w:pPr>
      <w:r>
        <w:t>How does the school report the TAS2O credit to the student record or OSR-holding school?</w:t>
      </w:r>
    </w:p>
    <w:p>
      <w:pPr>
        <w:pStyle w:val="ListNumber"/>
      </w:pPr>
      <w:r>
        <w:t>How are accommodations, ELL supports, and inclusive design practices reflected in instruction?</w:t>
      </w:r>
    </w:p>
    <w:p>
      <w:pPr>
        <w:pStyle w:val="Heading1"/>
      </w:pPr>
      <w:r>
        <w:t>14. Final Readiness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160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Role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Name</w:t>
            </w:r>
          </w:p>
        </w:tc>
        <w:tc>
          <w:tcPr>
            <w:tcW w:type="dxa" w:w="2016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Signature</w:t>
            </w:r>
          </w:p>
        </w:tc>
        <w:tc>
          <w:tcPr>
            <w:tcW w:type="dxa" w:w="1584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Date</w:t>
            </w:r>
          </w:p>
        </w:tc>
        <w:tc>
          <w:tcPr>
            <w:tcW w:type="dxa" w:w="3312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Comments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Course Teacher</w:t>
            </w:r>
          </w:p>
        </w:tc>
        <w:tc>
          <w:tcPr>
            <w:tcW w:type="dxa" w:w="2160"/>
            <w:vAlign w:val="top"/>
          </w:tcPr>
          <w:p>
            <w:r>
              <w:t>Carlos Chen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58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Principal</w:t>
            </w:r>
          </w:p>
        </w:tc>
        <w:tc>
          <w:tcPr>
            <w:tcW w:type="dxa" w:w="2160"/>
            <w:vAlign w:val="top"/>
          </w:tcPr>
          <w:p>
            <w:r>
              <w:t>Henry Michels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58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Administrator / Guidance / Records</w:t>
            </w:r>
          </w:p>
        </w:tc>
        <w:tc>
          <w:tcPr>
            <w:tcW w:type="dxa" w:w="2160"/>
            <w:vAlign w:val="top"/>
          </w:tcPr>
          <w:p>
            <w:r>
              <w:t>Webtree Academy Admin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58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Safety / Facilities Reviewer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Carlos Chen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58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</w:tbl>
    <w:p>
      <w:pPr>
        <w:pStyle w:val="Heading1"/>
      </w:pPr>
      <w:r>
        <w:t>15. Revision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152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Version</w:t>
            </w:r>
          </w:p>
        </w:tc>
        <w:tc>
          <w:tcPr>
            <w:tcW w:type="dxa" w:w="1728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Date</w:t>
            </w:r>
          </w:p>
        </w:tc>
        <w:tc>
          <w:tcPr>
            <w:tcW w:type="dxa" w:w="2016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Revised By</w:t>
            </w:r>
          </w:p>
        </w:tc>
        <w:tc>
          <w:tcPr>
            <w:tcW w:type="dxa" w:w="6336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Description of Change</w:t>
            </w:r>
          </w:p>
        </w:tc>
      </w:tr>
      <w:tr>
        <w:tc>
          <w:tcPr>
            <w:tcW w:type="dxa" w:w="1152"/>
            <w:vAlign w:val="top"/>
          </w:tcPr>
          <w:p>
            <w:r>
              <w:t>2026-05-12</w:t>
            </w:r>
          </w:p>
        </w:tc>
        <w:tc>
          <w:tcPr>
            <w:tcW w:type="dxa" w:w="1728"/>
            <w:vAlign w:val="top"/>
          </w:tcPr>
          <w:p>
            <w:r>
              <w:t>Initial TAS2O inspection checklist created for Webtree Academy</w:t>
            </w:r>
          </w:p>
        </w:tc>
        <w:tc>
          <w:tcPr>
            <w:tcW w:type="dxa" w:w="2016"/>
            <w:vAlign w:val="top"/>
          </w:tcPr>
          <w:p>
            <w:r>
              <w:t>Carlos Chen</w:t>
            </w:r>
          </w:p>
        </w:tc>
        <w:tc>
          <w:tcPr>
            <w:tcW w:type="dxa" w:w="6336"/>
            <w:vAlign w:val="top"/>
          </w:tcPr>
          <w:p>
            <w:r>
              <w:t>Henry Michels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633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633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TAS2O School Pre-Inspection Package Checklist | Webtree Academy | Confidential working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