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440" w:after="60"/>
      </w:pPr>
      <w:r>
        <w:rPr>
          <w:rFonts w:ascii="Arial" w:cs="Arial" w:eastAsia="Arial" w:hAnsi="Arial"/>
          <w:b/>
          <w:bCs/>
          <w:color w:val="0D2137"/>
          <w:sz w:val="60"/>
          <w:szCs w:val="60"/>
        </w:rPr>
        <w:t xml:space="preserve">CAM Platform Selection</w:t>
      </w:r>
    </w:p>
    <w:p>
      <w:pPr>
        <w:pBdr>
          <w:bottom w:val="single" w:color="2E75B6" w:sz="8" w:space="10"/>
        </w:pBdr>
        <w:spacing w:before="0" w:after="80"/>
      </w:pPr>
      <w:r>
        <w:rPr>
          <w:rFonts w:ascii="Arial" w:cs="Arial" w:eastAsia="Arial" w:hAnsi="Arial"/>
          <w:color w:val="2E75B6"/>
          <w:sz w:val="30"/>
          <w:szCs w:val="30"/>
        </w:rPr>
        <w:t xml:space="preserve">Recommendation: Autodesk PowerMill as Primary Integration Target</w:t>
      </w:r>
    </w:p>
    <w:p>
      <w:r>
        <w:rPr>
          <w:sz w:val="18"/>
          <w:szCs w:val="18"/>
        </w:rPr>
        <w:t xml:space="preserve"/>
      </w:r>
    </w:p>
    <w:p>
      <w:pPr>
        <w:spacing w:before="60" w:after="60"/>
      </w:pPr>
      <w:r>
        <w:rPr>
          <w:rFonts w:ascii="Arial" w:cs="Arial" w:eastAsia="Arial" w:hAnsi="Arial"/>
          <w:i/>
          <w:iCs/>
          <w:color w:val="666666"/>
          <w:sz w:val="20"/>
          <w:szCs w:val="20"/>
        </w:rPr>
        <w:t xml:space="preserve">Document Type: Technical Platform Decision   |   Date: February 2026   |   Replaces: Fusion-first plan in 6-Month Roadmap v1.0</w:t>
      </w:r>
    </w:p>
    <w:p>
      <w:r>
        <w:rPr>
          <w:sz w:val="18"/>
          <w:szCs w:val="18"/>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BDD6EE" w:sz="1"/>
              <w:left w:val="single" w:color="BDD6EE" w:sz="1"/>
              <w:bottom w:val="single" w:color="BDD6EE" w:sz="1"/>
              <w:right w:val="single" w:color="BDD6EE" w:sz="1"/>
            </w:tcBorders>
            <w:shd w:fill="0D2137" w:val="clear"/>
            <w:tcMar>
              <w:top w:type="dxa" w:w="90"/>
              <w:left w:type="dxa" w:w="150"/>
              <w:bottom w:type="dxa" w:w="90"/>
              <w:right w:type="dxa" w:w="150"/>
            </w:tcMar>
          </w:tcPr>
          <w:p>
            <w:pPr>
              <w:jc w:val="left"/>
            </w:pPr>
            <w:r>
              <w:rPr>
                <w:rFonts w:ascii="Arial" w:cs="Arial" w:eastAsia="Arial" w:hAnsi="Arial"/>
                <w:b/>
                <w:bCs/>
                <w:color w:val="FFFFFF"/>
                <w:sz w:val="22"/>
                <w:szCs w:val="22"/>
              </w:rPr>
              <w:t xml:space="preserve">Decision</w:t>
            </w:r>
          </w:p>
        </w:tc>
        <w:tc>
          <w:tcPr>
            <w:tcW w:type="dxa" w:w="4680"/>
            <w:tcBorders>
              <w:top w:val="single" w:color="BDD6EE" w:sz="1"/>
              <w:left w:val="single" w:color="BDD6EE" w:sz="1"/>
              <w:bottom w:val="single" w:color="BDD6EE" w:sz="1"/>
              <w:right w:val="single" w:color="BDD6EE" w:sz="1"/>
            </w:tcBorders>
            <w:shd w:fill="0D2137" w:val="clear"/>
            <w:tcMar>
              <w:top w:type="dxa" w:w="90"/>
              <w:left w:type="dxa" w:w="150"/>
              <w:bottom w:type="dxa" w:w="90"/>
              <w:right w:type="dxa" w:w="150"/>
            </w:tcMar>
          </w:tcPr>
          <w:p>
            <w:pPr>
              <w:jc w:val="left"/>
            </w:pPr>
            <w:r>
              <w:rPr>
                <w:rFonts w:ascii="Arial" w:cs="Arial" w:eastAsia="Arial" w:hAnsi="Arial"/>
                <w:b/>
                <w:bCs/>
                <w:color w:val="FFFFFF"/>
                <w:sz w:val="22"/>
                <w:szCs w:val="22"/>
              </w:rPr>
              <w:t xml:space="preserve">Rationale (Summary)</w:t>
            </w:r>
          </w:p>
        </w:tc>
      </w:tr>
      <w:tr>
        <w:tc>
          <w:tcPr>
            <w:tcW w:type="dxa" w:w="4680"/>
            <w:tcBorders>
              <w:top w:val="single" w:color="BDD6EE" w:sz="1"/>
              <w:left w:val="single" w:color="BDD6EE" w:sz="1"/>
              <w:bottom w:val="single" w:color="BDD6EE" w:sz="1"/>
              <w:right w:val="single" w:color="BDD6EE" w:sz="1"/>
            </w:tcBorders>
            <w:shd w:fill="E8F5EC" w:val="clear"/>
            <w:tcMar>
              <w:top w:type="dxa" w:w="90"/>
              <w:left w:type="dxa" w:w="150"/>
              <w:bottom w:type="dxa" w:w="90"/>
              <w:right w:type="dxa" w:w="150"/>
            </w:tcMar>
          </w:tcPr>
          <w:p>
            <w:pPr>
              <w:jc w:val="left"/>
            </w:pPr>
            <w:r>
              <w:rPr>
                <w:rFonts w:ascii="Arial" w:cs="Arial" w:eastAsia="Arial" w:hAnsi="Arial"/>
                <w:b w:val="false"/>
                <w:bCs w:val="false"/>
                <w:color w:val="1B6B2F"/>
                <w:sz w:val="19"/>
                <w:szCs w:val="19"/>
              </w:rPr>
              <w:t xml:space="preserve">Adopt Autodesk PowerMill as the primary CAM platform for Phase 1 integration, replacing Autodesk Fusion as the initial target.</w:t>
            </w:r>
          </w:p>
        </w:tc>
        <w:tc>
          <w:tcPr>
            <w:tcW w:type="dxa" w:w="4680"/>
            <w:tcBorders>
              <w:top w:val="single" w:color="BDD6EE" w:sz="1"/>
              <w:left w:val="single" w:color="BDD6EE" w:sz="1"/>
              <w:bottom w:val="single" w:color="BDD6EE" w:sz="1"/>
              <w:right w:val="single" w:color="BDD6EE" w:sz="1"/>
            </w:tcBorders>
            <w:shd w:fill="E8F5EC" w:val="clear"/>
            <w:tcMar>
              <w:top w:type="dxa" w:w="90"/>
              <w:left w:type="dxa" w:w="150"/>
              <w:bottom w:type="dxa" w:w="90"/>
              <w:right w:type="dxa" w:w="150"/>
            </w:tcMar>
          </w:tcPr>
          <w:p>
            <w:pPr>
              <w:jc w:val="left"/>
            </w:pPr>
            <w:r>
              <w:rPr>
                <w:rFonts w:ascii="Arial" w:cs="Arial" w:eastAsia="Arial" w:hAnsi="Arial"/>
                <w:b w:val="false"/>
                <w:bCs w:val="false"/>
                <w:color w:val="1B6B2F"/>
                <w:sz w:val="19"/>
                <w:szCs w:val="19"/>
              </w:rPr>
              <w:t xml:space="preserve">PowerMill is the production CAM used by partner shops where we will test. Aligning our integration with the platform already on shop floors eliminates re-tooling friction and gives us real-world feedback immediately.</w:t>
            </w:r>
          </w:p>
        </w:tc>
      </w:tr>
    </w:tbl>
    <w:p>
      <w:r>
        <w:rPr>
          <w:sz w:val="18"/>
          <w:szCs w:val="18"/>
        </w:rPr>
        <w:t xml:space="preserve"/>
      </w:r>
    </w:p>
    <w:p>
      <w:pPr>
        <w:pStyle w:val="Heading1"/>
        <w:pBdr>
          <w:bottom w:val="single" w:color="2E75B6" w:sz="8" w:space="8"/>
        </w:pBdr>
        <w:spacing w:before="400" w:after="100"/>
      </w:pPr>
      <w:r>
        <w:rPr>
          <w:rFonts w:ascii="Arial" w:cs="Arial" w:eastAsia="Arial" w:hAnsi="Arial"/>
          <w:b/>
          <w:bCs/>
          <w:color w:val="0D2137"/>
          <w:sz w:val="34"/>
          <w:szCs w:val="34"/>
        </w:rPr>
        <w:t xml:space="preserve">1. Context — Why We Are Revisiting Platform Choice</w:t>
      </w:r>
    </w:p>
    <w:p>
      <w:pPr>
        <w:spacing w:before="60" w:after="60"/>
      </w:pPr>
      <w:r>
        <w:rPr>
          <w:rFonts w:ascii="Arial" w:cs="Arial" w:eastAsia="Arial" w:hAnsi="Arial"/>
          <w:sz w:val="20"/>
          <w:szCs w:val="20"/>
        </w:rPr>
        <w:t xml:space="preserve">The original 6-month roadmap (v1.0) identified Autodesk Fusion as the Phase 1 integration target on the basis of its Python-native CAM API and broad SME adoption. That choice was made before partner shop relationships were established. Now that we have confirmed pilot partners — shops already using PowerMill in daily production — the calculus changes substantially.</w:t>
      </w:r>
    </w:p>
    <w:p>
      <w:r>
        <w:rPr>
          <w:sz w:val="18"/>
          <w:szCs w:val="18"/>
        </w:rPr>
        <w:t xml:space="preserve"/>
      </w:r>
    </w:p>
    <w:p>
      <w:pPr>
        <w:spacing w:before="60" w:after="60"/>
      </w:pPr>
      <w:r>
        <w:rPr>
          <w:rFonts w:ascii="Arial" w:cs="Arial" w:eastAsia="Arial" w:hAnsi="Arial"/>
          <w:sz w:val="20"/>
          <w:szCs w:val="20"/>
        </w:rPr>
        <w:t xml:space="preserve">There is a fundamental principle in software product development: build for the users you have, not the users you wish you had. Our pilot shops have PowerMill running on their machines today. Every hour we spend building a Fusion plug-in is an hour we cannot use to test on their real parts. Switching the Phase 1 integration target to PowerMill is the correct decision, and this document makes the technical and strategic case for it.</w:t>
      </w:r>
    </w:p>
    <w:p>
      <w:r>
        <w:rPr>
          <w:sz w:val="18"/>
          <w:szCs w:val="18"/>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DD6EE" w:sz="1"/>
              <w:left w:val="single" w:color="BDD6EE" w:sz="1"/>
              <w:bottom w:val="single" w:color="BDD6EE" w:sz="1"/>
              <w:right w:val="single" w:color="BDD6EE" w:sz="1"/>
            </w:tcBorders>
            <w:shd w:fill="F0F7FD" w:val="clear"/>
            <w:tcMar>
              <w:top w:type="dxa" w:w="130"/>
              <w:left w:type="dxa" w:w="220"/>
              <w:bottom w:type="dxa" w:w="130"/>
              <w:right w:type="dxa" w:w="220"/>
            </w:tcMar>
          </w:tcPr>
          <w:p>
            <w:pPr>
              <w:spacing w:after="60"/>
            </w:pPr>
            <w:r>
              <w:rPr>
                <w:rFonts w:ascii="Arial" w:cs="Arial" w:eastAsia="Arial" w:hAnsi="Arial"/>
                <w:b/>
                <w:bCs/>
                <w:color w:val="1F4E79"/>
                <w:sz w:val="22"/>
                <w:szCs w:val="22"/>
              </w:rPr>
              <w:t xml:space="preserve">◆  Governing Principle</w:t>
            </w:r>
          </w:p>
          <w:p>
            <w:r>
              <w:rPr>
                <w:rFonts w:ascii="Arial" w:cs="Arial" w:eastAsia="Arial" w:hAnsi="Arial"/>
                <w:color w:val="1F4E79"/>
                <w:sz w:val="19"/>
                <w:szCs w:val="19"/>
              </w:rPr>
              <w:t xml:space="preserve">The goal of Phase 1 is to validate our AI strategy generation and physics-based cutting parameters on real production parts at real partner shops. Any integration decision that delays this validation is wrong, regardless of other technical merits. PowerMill is already on our partners' shop floors. That fact alone makes it the right Phase 1 platform.</w:t>
            </w:r>
          </w:p>
        </w:tc>
      </w:tr>
    </w:tbl>
    <w:p>
      <w:r>
        <w:rPr>
          <w:sz w:val="18"/>
          <w:szCs w:val="18"/>
        </w:rPr>
        <w:t xml:space="preserve"/>
      </w:r>
    </w:p>
    <w:p>
      <w:pPr>
        <w:pStyle w:val="Heading1"/>
        <w:pBdr>
          <w:bottom w:val="single" w:color="2E75B6" w:sz="8" w:space="8"/>
        </w:pBdr>
        <w:spacing w:before="400" w:after="100"/>
      </w:pPr>
      <w:r>
        <w:rPr>
          <w:rFonts w:ascii="Arial" w:cs="Arial" w:eastAsia="Arial" w:hAnsi="Arial"/>
          <w:b/>
          <w:bCs/>
          <w:color w:val="0D2137"/>
          <w:sz w:val="34"/>
          <w:szCs w:val="34"/>
        </w:rPr>
        <w:t xml:space="preserve">2. What Autodesk PowerMill Is — Product Overview</w:t>
      </w:r>
    </w:p>
    <w:p>
      <w:pPr>
        <w:spacing w:before="60" w:after="60"/>
      </w:pPr>
      <w:r>
        <w:rPr>
          <w:rFonts w:ascii="Arial" w:cs="Arial" w:eastAsia="Arial" w:hAnsi="Arial"/>
          <w:sz w:val="20"/>
          <w:szCs w:val="20"/>
        </w:rPr>
        <w:t xml:space="preserve">PowerMill (officially branded as 'Autodesk Fusion with PowerMill' since 2020) is Autodesk's high-end, dedicated CAM software for complex 3- and 5-axis machining. Originally developed by Delcam (UK) under the name PowerMILL before Autodesk's 2014 acquisition, it has a 25+ year history in demanding manufacturing environments. It is the preferred platform in the mold-and-die, aerospace, automotive, and precision manufacturing industries globally.</w:t>
      </w:r>
    </w:p>
    <w:p>
      <w:r>
        <w:rPr>
          <w:sz w:val="18"/>
          <w:szCs w:val="18"/>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BDD6EE" w:sz="1"/>
              <w:left w:val="single" w:color="BDD6EE" w:sz="1"/>
              <w:bottom w:val="single" w:color="BDD6EE" w:sz="1"/>
              <w:right w:val="single" w:color="BDD6EE" w:sz="1"/>
            </w:tcBorders>
            <w:shd w:fill="F0F7FD" w:val="clear"/>
            <w:tcMar>
              <w:top w:type="dxa" w:w="90"/>
              <w:left w:type="dxa" w:w="150"/>
              <w:bottom w:type="dxa" w:w="90"/>
              <w:right w:type="dxa" w:w="150"/>
            </w:tcMar>
          </w:tcPr>
          <w:p>
            <w:pPr>
              <w:jc w:val="left"/>
            </w:pPr>
            <w:r>
              <w:rPr>
                <w:rFonts w:ascii="Arial" w:cs="Arial" w:eastAsia="Arial" w:hAnsi="Arial"/>
                <w:b/>
                <w:bCs/>
                <w:color w:val="1F4E79"/>
                <w:sz w:val="18"/>
                <w:szCs w:val="18"/>
              </w:rPr>
              <w:t xml:space="preserve">Original Developer</w:t>
            </w:r>
          </w:p>
        </w:tc>
        <w:tc>
          <w:tcPr>
            <w:tcW w:type="dxa" w:w="6760"/>
            <w:tcBorders>
              <w:top w:val="single" w:color="BDD6EE" w:sz="1"/>
              <w:left w:val="single" w:color="BDD6EE" w:sz="1"/>
              <w:bottom w:val="single" w:color="BDD6EE" w:sz="1"/>
              <w:right w:val="single" w:color="BDD6EE" w:sz="1"/>
            </w:tcBorders>
            <w:shd w:fill="F0F7FD" w:val="clear"/>
            <w:tcMar>
              <w:top w:type="dxa" w:w="90"/>
              <w:left w:type="dxa" w:w="150"/>
              <w:bottom w:type="dxa" w:w="90"/>
              <w:right w:type="dxa" w:w="150"/>
            </w:tcMar>
          </w:tcPr>
          <w:p>
            <w:pPr>
              <w:jc w:val="left"/>
            </w:pPr>
            <w:r>
              <w:rPr>
                <w:rFonts w:ascii="Arial" w:cs="Arial" w:eastAsia="Arial" w:hAnsi="Arial"/>
                <w:b w:val="false"/>
                <w:bCs w:val="false"/>
                <w:color w:val="1A1A1A"/>
                <w:sz w:val="18"/>
                <w:szCs w:val="18"/>
              </w:rPr>
              <w:t xml:space="preserve">Delcam plc (Birmingham, UK) — acquired by Autodesk in 2014 for ~$230M</w:t>
            </w:r>
          </w:p>
        </w:tc>
      </w:tr>
      <w:tr>
        <w:tc>
          <w:tcPr>
            <w:tcW w:type="dxa" w:w="2600"/>
            <w:tcBorders>
              <w:top w:val="single" w:color="BDD6EE" w:sz="1"/>
              <w:left w:val="single" w:color="BDD6EE" w:sz="1"/>
              <w:bottom w:val="single" w:color="BDD6EE" w:sz="1"/>
              <w:right w:val="single" w:color="BDD6EE" w:sz="1"/>
            </w:tcBorders>
            <w:shd w:fill="FFFFFF" w:val="clear"/>
            <w:tcMar>
              <w:top w:type="dxa" w:w="90"/>
              <w:left w:type="dxa" w:w="150"/>
              <w:bottom w:type="dxa" w:w="90"/>
              <w:right w:type="dxa" w:w="150"/>
            </w:tcMar>
          </w:tcPr>
          <w:p>
            <w:pPr>
              <w:jc w:val="left"/>
            </w:pPr>
            <w:r>
              <w:rPr>
                <w:rFonts w:ascii="Arial" w:cs="Arial" w:eastAsia="Arial" w:hAnsi="Arial"/>
                <w:b/>
                <w:bCs/>
                <w:color w:val="1F4E79"/>
                <w:sz w:val="18"/>
                <w:szCs w:val="18"/>
              </w:rPr>
              <w:t xml:space="preserve">Current Branding</w:t>
            </w:r>
          </w:p>
        </w:tc>
        <w:tc>
          <w:tcPr>
            <w:tcW w:type="dxa" w:w="6760"/>
            <w:tcBorders>
              <w:top w:val="single" w:color="BDD6EE" w:sz="1"/>
              <w:left w:val="single" w:color="BDD6EE" w:sz="1"/>
              <w:bottom w:val="single" w:color="BDD6EE" w:sz="1"/>
              <w:right w:val="single" w:color="BDD6EE" w:sz="1"/>
            </w:tcBorders>
            <w:shd w:fill="FFFFFF" w:val="clear"/>
            <w:tcMar>
              <w:top w:type="dxa" w:w="90"/>
              <w:left w:type="dxa" w:w="150"/>
              <w:bottom w:type="dxa" w:w="90"/>
              <w:right w:type="dxa" w:w="150"/>
            </w:tcMar>
          </w:tcPr>
          <w:p>
            <w:pPr>
              <w:jc w:val="left"/>
            </w:pPr>
            <w:r>
              <w:rPr>
                <w:rFonts w:ascii="Arial" w:cs="Arial" w:eastAsia="Arial" w:hAnsi="Arial"/>
                <w:b w:val="false"/>
                <w:bCs w:val="false"/>
                <w:color w:val="1A1A1A"/>
                <w:sz w:val="18"/>
                <w:szCs w:val="18"/>
              </w:rPr>
              <w:t xml:space="preserve">Autodesk Fusion with PowerMill (rebranded 2020). Still commonly referred to as 'PowerMill' by industry practitioners.</w:t>
            </w:r>
          </w:p>
        </w:tc>
      </w:tr>
      <w:tr>
        <w:tc>
          <w:tcPr>
            <w:tcW w:type="dxa" w:w="2600"/>
            <w:tcBorders>
              <w:top w:val="single" w:color="BDD6EE" w:sz="1"/>
              <w:left w:val="single" w:color="BDD6EE" w:sz="1"/>
              <w:bottom w:val="single" w:color="BDD6EE" w:sz="1"/>
              <w:right w:val="single" w:color="BDD6EE" w:sz="1"/>
            </w:tcBorders>
            <w:shd w:fill="F0F7FD" w:val="clear"/>
            <w:tcMar>
              <w:top w:type="dxa" w:w="90"/>
              <w:left w:type="dxa" w:w="150"/>
              <w:bottom w:type="dxa" w:w="90"/>
              <w:right w:type="dxa" w:w="150"/>
            </w:tcMar>
          </w:tcPr>
          <w:p>
            <w:pPr>
              <w:jc w:val="left"/>
            </w:pPr>
            <w:r>
              <w:rPr>
                <w:rFonts w:ascii="Arial" w:cs="Arial" w:eastAsia="Arial" w:hAnsi="Arial"/>
                <w:b/>
                <w:bCs/>
                <w:color w:val="1F4E79"/>
                <w:sz w:val="18"/>
                <w:szCs w:val="18"/>
              </w:rPr>
              <w:t xml:space="preserve">Target Industries</w:t>
            </w:r>
          </w:p>
        </w:tc>
        <w:tc>
          <w:tcPr>
            <w:tcW w:type="dxa" w:w="6760"/>
            <w:tcBorders>
              <w:top w:val="single" w:color="BDD6EE" w:sz="1"/>
              <w:left w:val="single" w:color="BDD6EE" w:sz="1"/>
              <w:bottom w:val="single" w:color="BDD6EE" w:sz="1"/>
              <w:right w:val="single" w:color="BDD6EE" w:sz="1"/>
            </w:tcBorders>
            <w:shd w:fill="F0F7FD" w:val="clear"/>
            <w:tcMar>
              <w:top w:type="dxa" w:w="90"/>
              <w:left w:type="dxa" w:w="150"/>
              <w:bottom w:type="dxa" w:w="90"/>
              <w:right w:type="dxa" w:w="150"/>
            </w:tcMar>
          </w:tcPr>
          <w:p>
            <w:pPr>
              <w:jc w:val="left"/>
            </w:pPr>
            <w:r>
              <w:rPr>
                <w:rFonts w:ascii="Arial" w:cs="Arial" w:eastAsia="Arial" w:hAnsi="Arial"/>
                <w:b w:val="false"/>
                <w:bCs w:val="false"/>
                <w:color w:val="1A1A1A"/>
                <w:sz w:val="18"/>
                <w:szCs w:val="18"/>
              </w:rPr>
              <w:t xml:space="preserve">Aerospace, automotive, mold-and-die, energy, medical devices, defence</w:t>
            </w:r>
          </w:p>
        </w:tc>
      </w:tr>
      <w:tr>
        <w:tc>
          <w:tcPr>
            <w:tcW w:type="dxa" w:w="2600"/>
            <w:tcBorders>
              <w:top w:val="single" w:color="BDD6EE" w:sz="1"/>
              <w:left w:val="single" w:color="BDD6EE" w:sz="1"/>
              <w:bottom w:val="single" w:color="BDD6EE" w:sz="1"/>
              <w:right w:val="single" w:color="BDD6EE" w:sz="1"/>
            </w:tcBorders>
            <w:shd w:fill="FFFFFF" w:val="clear"/>
            <w:tcMar>
              <w:top w:type="dxa" w:w="90"/>
              <w:left w:type="dxa" w:w="150"/>
              <w:bottom w:type="dxa" w:w="90"/>
              <w:right w:type="dxa" w:w="150"/>
            </w:tcMar>
          </w:tcPr>
          <w:p>
            <w:pPr>
              <w:jc w:val="left"/>
            </w:pPr>
            <w:r>
              <w:rPr>
                <w:rFonts w:ascii="Arial" w:cs="Arial" w:eastAsia="Arial" w:hAnsi="Arial"/>
                <w:b/>
                <w:bCs/>
                <w:color w:val="1F4E79"/>
                <w:sz w:val="18"/>
                <w:szCs w:val="18"/>
              </w:rPr>
              <w:t xml:space="preserve">Machine Types</w:t>
            </w:r>
          </w:p>
        </w:tc>
        <w:tc>
          <w:tcPr>
            <w:tcW w:type="dxa" w:w="6760"/>
            <w:tcBorders>
              <w:top w:val="single" w:color="BDD6EE" w:sz="1"/>
              <w:left w:val="single" w:color="BDD6EE" w:sz="1"/>
              <w:bottom w:val="single" w:color="BDD6EE" w:sz="1"/>
              <w:right w:val="single" w:color="BDD6EE" w:sz="1"/>
            </w:tcBorders>
            <w:shd w:fill="FFFFFF" w:val="clear"/>
            <w:tcMar>
              <w:top w:type="dxa" w:w="90"/>
              <w:left w:type="dxa" w:w="150"/>
              <w:bottom w:type="dxa" w:w="90"/>
              <w:right w:type="dxa" w:w="150"/>
            </w:tcMar>
          </w:tcPr>
          <w:p>
            <w:pPr>
              <w:jc w:val="left"/>
            </w:pPr>
            <w:r>
              <w:rPr>
                <w:rFonts w:ascii="Arial" w:cs="Arial" w:eastAsia="Arial" w:hAnsi="Arial"/>
                <w:b w:val="false"/>
                <w:bCs w:val="false"/>
                <w:color w:val="1A1A1A"/>
                <w:sz w:val="18"/>
                <w:szCs w:val="18"/>
              </w:rPr>
              <w:t xml:space="preserve">3-axis mills, 3+2 positioning, simultaneous 5-axis machines, mill-turn, industrial robots, hybrid additive/subtractive</w:t>
            </w:r>
          </w:p>
        </w:tc>
      </w:tr>
      <w:tr>
        <w:tc>
          <w:tcPr>
            <w:tcW w:type="dxa" w:w="2600"/>
            <w:tcBorders>
              <w:top w:val="single" w:color="BDD6EE" w:sz="1"/>
              <w:left w:val="single" w:color="BDD6EE" w:sz="1"/>
              <w:bottom w:val="single" w:color="BDD6EE" w:sz="1"/>
              <w:right w:val="single" w:color="BDD6EE" w:sz="1"/>
            </w:tcBorders>
            <w:shd w:fill="F0F7FD" w:val="clear"/>
            <w:tcMar>
              <w:top w:type="dxa" w:w="90"/>
              <w:left w:type="dxa" w:w="150"/>
              <w:bottom w:type="dxa" w:w="90"/>
              <w:right w:type="dxa" w:w="150"/>
            </w:tcMar>
          </w:tcPr>
          <w:p>
            <w:pPr>
              <w:jc w:val="left"/>
            </w:pPr>
            <w:r>
              <w:rPr>
                <w:rFonts w:ascii="Arial" w:cs="Arial" w:eastAsia="Arial" w:hAnsi="Arial"/>
                <w:b/>
                <w:bCs/>
                <w:color w:val="1F4E79"/>
                <w:sz w:val="18"/>
                <w:szCs w:val="18"/>
              </w:rPr>
              <w:t xml:space="preserve">Part Types</w:t>
            </w:r>
          </w:p>
        </w:tc>
        <w:tc>
          <w:tcPr>
            <w:tcW w:type="dxa" w:w="6760"/>
            <w:tcBorders>
              <w:top w:val="single" w:color="BDD6EE" w:sz="1"/>
              <w:left w:val="single" w:color="BDD6EE" w:sz="1"/>
              <w:bottom w:val="single" w:color="BDD6EE" w:sz="1"/>
              <w:right w:val="single" w:color="BDD6EE" w:sz="1"/>
            </w:tcBorders>
            <w:shd w:fill="F0F7FD" w:val="clear"/>
            <w:tcMar>
              <w:top w:type="dxa" w:w="90"/>
              <w:left w:type="dxa" w:w="150"/>
              <w:bottom w:type="dxa" w:w="90"/>
              <w:right w:type="dxa" w:w="150"/>
            </w:tcMar>
          </w:tcPr>
          <w:p>
            <w:pPr>
              <w:jc w:val="left"/>
            </w:pPr>
            <w:r>
              <w:rPr>
                <w:rFonts w:ascii="Arial" w:cs="Arial" w:eastAsia="Arial" w:hAnsi="Arial"/>
                <w:b w:val="false"/>
                <w:bCs w:val="false"/>
                <w:color w:val="1A1A1A"/>
                <w:sz w:val="18"/>
                <w:szCs w:val="18"/>
              </w:rPr>
              <w:t xml:space="preserve">Complex freeform surfaces, large molds and dies, turbine blades, blisks/IBRs, engine ports, manifolds, electrodes</w:t>
            </w:r>
          </w:p>
        </w:tc>
      </w:tr>
      <w:tr>
        <w:tc>
          <w:tcPr>
            <w:tcW w:type="dxa" w:w="2600"/>
            <w:tcBorders>
              <w:top w:val="single" w:color="BDD6EE" w:sz="1"/>
              <w:left w:val="single" w:color="BDD6EE" w:sz="1"/>
              <w:bottom w:val="single" w:color="BDD6EE" w:sz="1"/>
              <w:right w:val="single" w:color="BDD6EE" w:sz="1"/>
            </w:tcBorders>
            <w:shd w:fill="FFFFFF" w:val="clear"/>
            <w:tcMar>
              <w:top w:type="dxa" w:w="90"/>
              <w:left w:type="dxa" w:w="150"/>
              <w:bottom w:type="dxa" w:w="90"/>
              <w:right w:type="dxa" w:w="150"/>
            </w:tcMar>
          </w:tcPr>
          <w:p>
            <w:pPr>
              <w:jc w:val="left"/>
            </w:pPr>
            <w:r>
              <w:rPr>
                <w:rFonts w:ascii="Arial" w:cs="Arial" w:eastAsia="Arial" w:hAnsi="Arial"/>
                <w:b/>
                <w:bCs/>
                <w:color w:val="1F4E79"/>
                <w:sz w:val="18"/>
                <w:szCs w:val="18"/>
              </w:rPr>
              <w:t xml:space="preserve">Tiers</w:t>
            </w:r>
          </w:p>
        </w:tc>
        <w:tc>
          <w:tcPr>
            <w:tcW w:type="dxa" w:w="6760"/>
            <w:tcBorders>
              <w:top w:val="single" w:color="BDD6EE" w:sz="1"/>
              <w:left w:val="single" w:color="BDD6EE" w:sz="1"/>
              <w:bottom w:val="single" w:color="BDD6EE" w:sz="1"/>
              <w:right w:val="single" w:color="BDD6EE" w:sz="1"/>
            </w:tcBorders>
            <w:shd w:fill="FFFFFF" w:val="clear"/>
            <w:tcMar>
              <w:top w:type="dxa" w:w="90"/>
              <w:left w:type="dxa" w:w="150"/>
              <w:bottom w:type="dxa" w:w="90"/>
              <w:right w:type="dxa" w:w="150"/>
            </w:tcMar>
          </w:tcPr>
          <w:p>
            <w:pPr>
              <w:jc w:val="left"/>
            </w:pPr>
            <w:r>
              <w:rPr>
                <w:rFonts w:ascii="Arial" w:cs="Arial" w:eastAsia="Arial" w:hAnsi="Arial"/>
                <w:b w:val="false"/>
                <w:bCs w:val="false"/>
                <w:color w:val="1A1A1A"/>
                <w:sz w:val="18"/>
                <w:szCs w:val="18"/>
              </w:rPr>
              <w:t xml:space="preserve">PowerMill Standard (3-axis, 3+2, basic turning, simulation) and PowerMill Ultimate (adds full 5-axis, robot offline programming, additive, blade/port/blisk strategies, electrode automation)</w:t>
            </w:r>
          </w:p>
        </w:tc>
      </w:tr>
      <w:tr>
        <w:tc>
          <w:tcPr>
            <w:tcW w:type="dxa" w:w="2600"/>
            <w:tcBorders>
              <w:top w:val="single" w:color="BDD6EE" w:sz="1"/>
              <w:left w:val="single" w:color="BDD6EE" w:sz="1"/>
              <w:bottom w:val="single" w:color="BDD6EE" w:sz="1"/>
              <w:right w:val="single" w:color="BDD6EE" w:sz="1"/>
            </w:tcBorders>
            <w:shd w:fill="F0F7FD" w:val="clear"/>
            <w:tcMar>
              <w:top w:type="dxa" w:w="90"/>
              <w:left w:type="dxa" w:w="150"/>
              <w:bottom w:type="dxa" w:w="90"/>
              <w:right w:type="dxa" w:w="150"/>
            </w:tcMar>
          </w:tcPr>
          <w:p>
            <w:pPr>
              <w:jc w:val="left"/>
            </w:pPr>
            <w:r>
              <w:rPr>
                <w:rFonts w:ascii="Arial" w:cs="Arial" w:eastAsia="Arial" w:hAnsi="Arial"/>
                <w:b/>
                <w:bCs/>
                <w:color w:val="1F4E79"/>
                <w:sz w:val="18"/>
                <w:szCs w:val="18"/>
              </w:rPr>
              <w:t xml:space="preserve">Pricing</w:t>
            </w:r>
          </w:p>
        </w:tc>
        <w:tc>
          <w:tcPr>
            <w:tcW w:type="dxa" w:w="6760"/>
            <w:tcBorders>
              <w:top w:val="single" w:color="BDD6EE" w:sz="1"/>
              <w:left w:val="single" w:color="BDD6EE" w:sz="1"/>
              <w:bottom w:val="single" w:color="BDD6EE" w:sz="1"/>
              <w:right w:val="single" w:color="BDD6EE" w:sz="1"/>
            </w:tcBorders>
            <w:shd w:fill="F0F7FD" w:val="clear"/>
            <w:tcMar>
              <w:top w:type="dxa" w:w="90"/>
              <w:left w:type="dxa" w:w="150"/>
              <w:bottom w:type="dxa" w:w="90"/>
              <w:right w:type="dxa" w:w="150"/>
            </w:tcMar>
          </w:tcPr>
          <w:p>
            <w:pPr>
              <w:jc w:val="left"/>
            </w:pPr>
            <w:r>
              <w:rPr>
                <w:rFonts w:ascii="Arial" w:cs="Arial" w:eastAsia="Arial" w:hAnsi="Arial"/>
                <w:b w:val="false"/>
                <w:bCs w:val="false"/>
                <w:color w:val="1A1A1A"/>
                <w:sz w:val="18"/>
                <w:szCs w:val="18"/>
              </w:rPr>
              <w:t xml:space="preserve">Enterprise subscription — quote-based, typically $5,000–$15,000+ per seat per year. Not publicly listed.</w:t>
            </w:r>
          </w:p>
        </w:tc>
      </w:tr>
      <w:tr>
        <w:tc>
          <w:tcPr>
            <w:tcW w:type="dxa" w:w="2600"/>
            <w:tcBorders>
              <w:top w:val="single" w:color="BDD6EE" w:sz="1"/>
              <w:left w:val="single" w:color="BDD6EE" w:sz="1"/>
              <w:bottom w:val="single" w:color="BDD6EE" w:sz="1"/>
              <w:right w:val="single" w:color="BDD6EE" w:sz="1"/>
            </w:tcBorders>
            <w:shd w:fill="FFFFFF" w:val="clear"/>
            <w:tcMar>
              <w:top w:type="dxa" w:w="90"/>
              <w:left w:type="dxa" w:w="150"/>
              <w:bottom w:type="dxa" w:w="90"/>
              <w:right w:type="dxa" w:w="150"/>
            </w:tcMar>
          </w:tcPr>
          <w:p>
            <w:pPr>
              <w:jc w:val="left"/>
            </w:pPr>
            <w:r>
              <w:rPr>
                <w:rFonts w:ascii="Arial" w:cs="Arial" w:eastAsia="Arial" w:hAnsi="Arial"/>
                <w:b/>
                <w:bCs/>
                <w:color w:val="1F4E79"/>
                <w:sz w:val="18"/>
                <w:szCs w:val="18"/>
              </w:rPr>
              <w:t xml:space="preserve">Deployment</w:t>
            </w:r>
          </w:p>
        </w:tc>
        <w:tc>
          <w:tcPr>
            <w:tcW w:type="dxa" w:w="6760"/>
            <w:tcBorders>
              <w:top w:val="single" w:color="BDD6EE" w:sz="1"/>
              <w:left w:val="single" w:color="BDD6EE" w:sz="1"/>
              <w:bottom w:val="single" w:color="BDD6EE" w:sz="1"/>
              <w:right w:val="single" w:color="BDD6EE" w:sz="1"/>
            </w:tcBorders>
            <w:shd w:fill="FFFFFF" w:val="clear"/>
            <w:tcMar>
              <w:top w:type="dxa" w:w="90"/>
              <w:left w:type="dxa" w:w="150"/>
              <w:bottom w:type="dxa" w:w="90"/>
              <w:right w:type="dxa" w:w="150"/>
            </w:tcMar>
          </w:tcPr>
          <w:p>
            <w:pPr>
              <w:jc w:val="left"/>
            </w:pPr>
            <w:r>
              <w:rPr>
                <w:rFonts w:ascii="Arial" w:cs="Arial" w:eastAsia="Arial" w:hAnsi="Arial"/>
                <w:b w:val="false"/>
                <w:bCs w:val="false"/>
                <w:color w:val="1A1A1A"/>
                <w:sz w:val="18"/>
                <w:szCs w:val="18"/>
              </w:rPr>
              <w:t xml:space="preserve">Windows desktop application (local install). No cloud-native CAM kernel. Post-processing outputs vendor-specific G-code / APT.</w:t>
            </w:r>
          </w:p>
        </w:tc>
      </w:tr>
      <w:tr>
        <w:tc>
          <w:tcPr>
            <w:tcW w:type="dxa" w:w="2600"/>
            <w:tcBorders>
              <w:top w:val="single" w:color="BDD6EE" w:sz="1"/>
              <w:left w:val="single" w:color="BDD6EE" w:sz="1"/>
              <w:bottom w:val="single" w:color="BDD6EE" w:sz="1"/>
              <w:right w:val="single" w:color="BDD6EE" w:sz="1"/>
            </w:tcBorders>
            <w:shd w:fill="F0F7FD" w:val="clear"/>
            <w:tcMar>
              <w:top w:type="dxa" w:w="90"/>
              <w:left w:type="dxa" w:w="150"/>
              <w:bottom w:type="dxa" w:w="90"/>
              <w:right w:type="dxa" w:w="150"/>
            </w:tcMar>
          </w:tcPr>
          <w:p>
            <w:pPr>
              <w:jc w:val="left"/>
            </w:pPr>
            <w:r>
              <w:rPr>
                <w:rFonts w:ascii="Arial" w:cs="Arial" w:eastAsia="Arial" w:hAnsi="Arial"/>
                <w:b/>
                <w:bCs/>
                <w:color w:val="1F4E79"/>
                <w:sz w:val="18"/>
                <w:szCs w:val="18"/>
              </w:rPr>
              <w:t xml:space="preserve">User Base</w:t>
            </w:r>
          </w:p>
        </w:tc>
        <w:tc>
          <w:tcPr>
            <w:tcW w:type="dxa" w:w="6760"/>
            <w:tcBorders>
              <w:top w:val="single" w:color="BDD6EE" w:sz="1"/>
              <w:left w:val="single" w:color="BDD6EE" w:sz="1"/>
              <w:bottom w:val="single" w:color="BDD6EE" w:sz="1"/>
              <w:right w:val="single" w:color="BDD6EE" w:sz="1"/>
            </w:tcBorders>
            <w:shd w:fill="F0F7FD" w:val="clear"/>
            <w:tcMar>
              <w:top w:type="dxa" w:w="90"/>
              <w:left w:type="dxa" w:w="150"/>
              <w:bottom w:type="dxa" w:w="90"/>
              <w:right w:type="dxa" w:w="150"/>
            </w:tcMar>
          </w:tcPr>
          <w:p>
            <w:pPr>
              <w:jc w:val="left"/>
            </w:pPr>
            <w:r>
              <w:rPr>
                <w:rFonts w:ascii="Arial" w:cs="Arial" w:eastAsia="Arial" w:hAnsi="Arial"/>
                <w:b w:val="false"/>
                <w:bCs w:val="false"/>
                <w:color w:val="1A1A1A"/>
                <w:sz w:val="18"/>
                <w:szCs w:val="18"/>
              </w:rPr>
              <w:t xml:space="preserve">Tens of thousands of seats globally across aerospace, automotive, and mold/die sectors</w:t>
            </w:r>
          </w:p>
        </w:tc>
      </w:tr>
      <w:tr>
        <w:tc>
          <w:tcPr>
            <w:tcW w:type="dxa" w:w="2600"/>
            <w:tcBorders>
              <w:top w:val="single" w:color="BDD6EE" w:sz="1"/>
              <w:left w:val="single" w:color="BDD6EE" w:sz="1"/>
              <w:bottom w:val="single" w:color="BDD6EE" w:sz="1"/>
              <w:right w:val="single" w:color="BDD6EE" w:sz="1"/>
            </w:tcBorders>
            <w:shd w:fill="FFFFFF" w:val="clear"/>
            <w:tcMar>
              <w:top w:type="dxa" w:w="90"/>
              <w:left w:type="dxa" w:w="150"/>
              <w:bottom w:type="dxa" w:w="90"/>
              <w:right w:type="dxa" w:w="150"/>
            </w:tcMar>
          </w:tcPr>
          <w:p>
            <w:pPr>
              <w:jc w:val="left"/>
            </w:pPr>
            <w:r>
              <w:rPr>
                <w:rFonts w:ascii="Arial" w:cs="Arial" w:eastAsia="Arial" w:hAnsi="Arial"/>
                <w:b/>
                <w:bCs/>
                <w:color w:val="1F4E79"/>
                <w:sz w:val="18"/>
                <w:szCs w:val="18"/>
              </w:rPr>
              <w:t xml:space="preserve">Key Differentiators</w:t>
            </w:r>
          </w:p>
        </w:tc>
        <w:tc>
          <w:tcPr>
            <w:tcW w:type="dxa" w:w="6760"/>
            <w:tcBorders>
              <w:top w:val="single" w:color="BDD6EE" w:sz="1"/>
              <w:left w:val="single" w:color="BDD6EE" w:sz="1"/>
              <w:bottom w:val="single" w:color="BDD6EE" w:sz="1"/>
              <w:right w:val="single" w:color="BDD6EE" w:sz="1"/>
            </w:tcBorders>
            <w:shd w:fill="FFFFFF" w:val="clear"/>
            <w:tcMar>
              <w:top w:type="dxa" w:w="90"/>
              <w:left w:type="dxa" w:w="150"/>
              <w:bottom w:type="dxa" w:w="90"/>
              <w:right w:type="dxa" w:w="150"/>
            </w:tcMar>
          </w:tcPr>
          <w:p>
            <w:pPr>
              <w:jc w:val="left"/>
            </w:pPr>
            <w:r>
              <w:rPr>
                <w:rFonts w:ascii="Arial" w:cs="Arial" w:eastAsia="Arial" w:hAnsi="Arial"/>
                <w:b w:val="false"/>
                <w:bCs w:val="false"/>
                <w:color w:val="1A1A1A"/>
                <w:sz w:val="18"/>
                <w:szCs w:val="18"/>
              </w:rPr>
              <w:t xml:space="preserve">Largest 5-axis strategy library of any CAM product; best-in-class surface finish quality; advanced collision avoidance; macro and template automation; proven on the most complex geometries in the world</w:t>
            </w:r>
          </w:p>
        </w:tc>
      </w:tr>
    </w:tbl>
    <w:p>
      <w:r>
        <w:rPr>
          <w:sz w:val="18"/>
          <w:szCs w:val="18"/>
        </w:rPr>
        <w:t xml:space="preserve"/>
      </w:r>
    </w:p>
    <w:p>
      <w:pPr>
        <w:pStyle w:val="Heading2"/>
        <w:spacing w:before="260" w:after="80"/>
      </w:pPr>
      <w:r>
        <w:rPr>
          <w:rFonts w:ascii="Arial" w:cs="Arial" w:eastAsia="Arial" w:hAnsi="Arial"/>
          <w:b/>
          <w:bCs/>
          <w:color w:val="2E75B6"/>
          <w:sz w:val="26"/>
          <w:szCs w:val="26"/>
        </w:rPr>
        <w:t xml:space="preserve">2.1 PowerMill vs. Fusion vs. NX — Where PowerMill Fits</w:t>
      </w:r>
    </w:p>
    <w:p>
      <w:pPr>
        <w:spacing w:before="60" w:after="60"/>
      </w:pPr>
      <w:r>
        <w:rPr>
          <w:rFonts w:ascii="Arial" w:cs="Arial" w:eastAsia="Arial" w:hAnsi="Arial"/>
          <w:sz w:val="20"/>
          <w:szCs w:val="20"/>
        </w:rPr>
        <w:t xml:space="preserve">PowerMill occupies a specific and well-defined niche in the CAM landscape. Understanding this positioning is essential for understanding why our partner shops are using it — and why it is the right platform for our pilot.</w:t>
      </w:r>
    </w:p>
    <w:p>
      <w:r>
        <w:rPr>
          <w:sz w:val="18"/>
          <w:szCs w:val="18"/>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320"/>
        <w:gridCol w:w="2320"/>
        <w:gridCol w:w="2320"/>
      </w:tblGrid>
      <w:tr>
        <w:tc>
          <w:tcPr>
            <w:tcW w:type="dxa" w:w="2400"/>
            <w:tcBorders>
              <w:top w:val="single" w:color="BDD6EE" w:sz="1"/>
              <w:left w:val="single" w:color="BDD6EE" w:sz="1"/>
              <w:bottom w:val="single" w:color="BDD6EE" w:sz="1"/>
              <w:right w:val="single" w:color="BDD6EE" w:sz="1"/>
            </w:tcBorders>
            <w:shd w:fill="0D2137" w:val="clear"/>
            <w:tcMar>
              <w:top w:type="dxa" w:w="90"/>
              <w:left w:type="dxa" w:w="150"/>
              <w:bottom w:type="dxa" w:w="90"/>
              <w:right w:type="dxa" w:w="150"/>
            </w:tcMar>
          </w:tcPr>
          <w:p>
            <w:pPr>
              <w:jc w:val="left"/>
            </w:pPr>
            <w:r>
              <w:rPr>
                <w:rFonts w:ascii="Arial" w:cs="Arial" w:eastAsia="Arial" w:hAnsi="Arial"/>
                <w:b/>
                <w:bCs/>
                <w:color w:val="FFFFFF"/>
                <w:sz w:val="18"/>
                <w:szCs w:val="18"/>
              </w:rPr>
              <w:t xml:space="preserve">Criterion</w:t>
            </w:r>
          </w:p>
        </w:tc>
        <w:tc>
          <w:tcPr>
            <w:tcW w:type="dxa" w:w="2320"/>
            <w:tcBorders>
              <w:top w:val="single" w:color="BDD6EE" w:sz="1"/>
              <w:left w:val="single" w:color="BDD6EE" w:sz="1"/>
              <w:bottom w:val="single" w:color="BDD6EE" w:sz="1"/>
              <w:right w:val="single" w:color="BDD6EE" w:sz="1"/>
            </w:tcBorders>
            <w:shd w:fill="0D2137" w:val="clear"/>
            <w:tcMar>
              <w:top w:type="dxa" w:w="90"/>
              <w:left w:type="dxa" w:w="150"/>
              <w:bottom w:type="dxa" w:w="90"/>
              <w:right w:type="dxa" w:w="150"/>
            </w:tcMar>
          </w:tcPr>
          <w:p>
            <w:pPr>
              <w:jc w:val="left"/>
            </w:pPr>
            <w:r>
              <w:rPr>
                <w:rFonts w:ascii="Arial" w:cs="Arial" w:eastAsia="Arial" w:hAnsi="Arial"/>
                <w:b/>
                <w:bCs/>
                <w:color w:val="FFFFFF"/>
                <w:sz w:val="18"/>
                <w:szCs w:val="18"/>
              </w:rPr>
              <w:t xml:space="preserve">Autodesk Fusion</w:t>
            </w:r>
          </w:p>
        </w:tc>
        <w:tc>
          <w:tcPr>
            <w:tcW w:type="dxa" w:w="2320"/>
            <w:tcBorders>
              <w:top w:val="single" w:color="BDD6EE" w:sz="1"/>
              <w:left w:val="single" w:color="BDD6EE" w:sz="1"/>
              <w:bottom w:val="single" w:color="BDD6EE" w:sz="1"/>
              <w:right w:val="single" w:color="BDD6EE" w:sz="1"/>
            </w:tcBorders>
            <w:shd w:fill="0D2137" w:val="clear"/>
            <w:tcMar>
              <w:top w:type="dxa" w:w="90"/>
              <w:left w:type="dxa" w:w="150"/>
              <w:bottom w:type="dxa" w:w="90"/>
              <w:right w:type="dxa" w:w="150"/>
            </w:tcMar>
          </w:tcPr>
          <w:p>
            <w:pPr>
              <w:jc w:val="left"/>
            </w:pPr>
            <w:r>
              <w:rPr>
                <w:rFonts w:ascii="Arial" w:cs="Arial" w:eastAsia="Arial" w:hAnsi="Arial"/>
                <w:b/>
                <w:bCs/>
                <w:color w:val="FFFFFF"/>
                <w:sz w:val="18"/>
                <w:szCs w:val="18"/>
              </w:rPr>
              <w:t xml:space="preserve">Autodesk PowerMill</w:t>
            </w:r>
          </w:p>
        </w:tc>
        <w:tc>
          <w:tcPr>
            <w:tcW w:type="dxa" w:w="2320"/>
            <w:tcBorders>
              <w:top w:val="single" w:color="BDD6EE" w:sz="1"/>
              <w:left w:val="single" w:color="BDD6EE" w:sz="1"/>
              <w:bottom w:val="single" w:color="BDD6EE" w:sz="1"/>
              <w:right w:val="single" w:color="BDD6EE" w:sz="1"/>
            </w:tcBorders>
            <w:shd w:fill="0D2137" w:val="clear"/>
            <w:tcMar>
              <w:top w:type="dxa" w:w="90"/>
              <w:left w:type="dxa" w:w="150"/>
              <w:bottom w:type="dxa" w:w="90"/>
              <w:right w:type="dxa" w:w="150"/>
            </w:tcMar>
          </w:tcPr>
          <w:p>
            <w:pPr>
              <w:jc w:val="left"/>
            </w:pPr>
            <w:r>
              <w:rPr>
                <w:rFonts w:ascii="Arial" w:cs="Arial" w:eastAsia="Arial" w:hAnsi="Arial"/>
                <w:b/>
                <w:bCs/>
                <w:color w:val="FFFFFF"/>
                <w:sz w:val="18"/>
                <w:szCs w:val="18"/>
              </w:rPr>
              <w:t xml:space="preserve">Siemens NX CAM</w:t>
            </w:r>
          </w:p>
        </w:tc>
      </w:tr>
      <w:tr>
        <w:tc>
          <w:tcPr>
            <w:tcW w:type="dxa" w:w="2400"/>
            <w:tcBorders>
              <w:top w:val="single" w:color="BDD6EE" w:sz="1"/>
              <w:left w:val="single" w:color="BDD6EE" w:sz="1"/>
              <w:bottom w:val="single" w:color="BDD6EE" w:sz="1"/>
              <w:right w:val="single" w:color="BDD6EE" w:sz="1"/>
            </w:tcBorders>
            <w:shd w:fill="F0F7FD" w:val="clear"/>
            <w:tcMar>
              <w:top w:type="dxa" w:w="90"/>
              <w:left w:type="dxa" w:w="150"/>
              <w:bottom w:type="dxa" w:w="90"/>
              <w:right w:type="dxa" w:w="150"/>
            </w:tcMar>
          </w:tcPr>
          <w:p>
            <w:pPr>
              <w:jc w:val="left"/>
            </w:pPr>
            <w:r>
              <w:rPr>
                <w:rFonts w:ascii="Arial" w:cs="Arial" w:eastAsia="Arial" w:hAnsi="Arial"/>
                <w:b w:val="false"/>
                <w:bCs w:val="false"/>
                <w:color w:val="1A1A1A"/>
                <w:sz w:val="18"/>
                <w:szCs w:val="18"/>
              </w:rPr>
              <w:t xml:space="preserve">Primary Use Case</w:t>
            </w:r>
          </w:p>
        </w:tc>
        <w:tc>
          <w:tcPr>
            <w:tcW w:type="dxa" w:w="2320"/>
            <w:tcBorders>
              <w:top w:val="single" w:color="BDD6EE" w:sz="1"/>
              <w:left w:val="single" w:color="BDD6EE" w:sz="1"/>
              <w:bottom w:val="single" w:color="BDD6EE" w:sz="1"/>
              <w:right w:val="single" w:color="BDD6EE" w:sz="1"/>
            </w:tcBorders>
            <w:shd w:fill="F0F7FD" w:val="clear"/>
            <w:tcMar>
              <w:top w:type="dxa" w:w="90"/>
              <w:left w:type="dxa" w:w="150"/>
              <w:bottom w:type="dxa" w:w="90"/>
              <w:right w:type="dxa" w:w="150"/>
            </w:tcMar>
          </w:tcPr>
          <w:p>
            <w:pPr>
              <w:jc w:val="left"/>
            </w:pPr>
            <w:r>
              <w:rPr>
                <w:rFonts w:ascii="Arial" w:cs="Arial" w:eastAsia="Arial" w:hAnsi="Arial"/>
                <w:b w:val="false"/>
                <w:bCs w:val="false"/>
                <w:color w:val="1A1A1A"/>
                <w:sz w:val="18"/>
                <w:szCs w:val="18"/>
              </w:rPr>
              <w:t xml:space="preserve">Prototyping, SME shops, product design + manufacturing</w:t>
            </w:r>
          </w:p>
        </w:tc>
        <w:tc>
          <w:tcPr>
            <w:tcW w:type="dxa" w:w="2320"/>
            <w:tcBorders>
              <w:top w:val="single" w:color="BDD6EE" w:sz="1"/>
              <w:left w:val="single" w:color="BDD6EE" w:sz="1"/>
              <w:bottom w:val="single" w:color="BDD6EE" w:sz="1"/>
              <w:right w:val="single" w:color="BDD6EE" w:sz="1"/>
            </w:tcBorders>
            <w:shd w:fill="F0F7FD" w:val="clear"/>
            <w:tcMar>
              <w:top w:type="dxa" w:w="90"/>
              <w:left w:type="dxa" w:w="150"/>
              <w:bottom w:type="dxa" w:w="90"/>
              <w:right w:type="dxa" w:w="150"/>
            </w:tcMar>
          </w:tcPr>
          <w:p>
            <w:pPr>
              <w:jc w:val="left"/>
            </w:pPr>
            <w:r>
              <w:rPr>
                <w:rFonts w:ascii="Arial" w:cs="Arial" w:eastAsia="Arial" w:hAnsi="Arial"/>
                <w:b w:val="false"/>
                <w:bCs w:val="false"/>
                <w:color w:val="1A1A1A"/>
                <w:sz w:val="18"/>
                <w:szCs w:val="18"/>
              </w:rPr>
              <w:t xml:space="preserve">Complex 3–5 axis milling; mold/die; aerospace; production</w:t>
            </w:r>
          </w:p>
        </w:tc>
        <w:tc>
          <w:tcPr>
            <w:tcW w:type="dxa" w:w="2320"/>
            <w:tcBorders>
              <w:top w:val="single" w:color="BDD6EE" w:sz="1"/>
              <w:left w:val="single" w:color="BDD6EE" w:sz="1"/>
              <w:bottom w:val="single" w:color="BDD6EE" w:sz="1"/>
              <w:right w:val="single" w:color="BDD6EE" w:sz="1"/>
            </w:tcBorders>
            <w:shd w:fill="F0F7FD" w:val="clear"/>
            <w:tcMar>
              <w:top w:type="dxa" w:w="90"/>
              <w:left w:type="dxa" w:w="150"/>
              <w:bottom w:type="dxa" w:w="90"/>
              <w:right w:type="dxa" w:w="150"/>
            </w:tcMar>
          </w:tcPr>
          <w:p>
            <w:pPr>
              <w:jc w:val="left"/>
            </w:pPr>
            <w:r>
              <w:rPr>
                <w:rFonts w:ascii="Arial" w:cs="Arial" w:eastAsia="Arial" w:hAnsi="Arial"/>
                <w:b w:val="false"/>
                <w:bCs w:val="false"/>
                <w:color w:val="1A1A1A"/>
                <w:sz w:val="18"/>
                <w:szCs w:val="18"/>
              </w:rPr>
              <w:t xml:space="preserve">Aerospace/defence engineering; large enterprise integration</w:t>
            </w:r>
          </w:p>
        </w:tc>
      </w:tr>
      <w:tr>
        <w:tc>
          <w:tcPr>
            <w:tcW w:type="dxa" w:w="2400"/>
            <w:tcBorders>
              <w:top w:val="single" w:color="BDD6EE" w:sz="1"/>
              <w:left w:val="single" w:color="BDD6EE" w:sz="1"/>
              <w:bottom w:val="single" w:color="BDD6EE" w:sz="1"/>
              <w:right w:val="single" w:color="BDD6EE" w:sz="1"/>
            </w:tcBorders>
            <w:shd w:fill="FFFFFF" w:val="clear"/>
            <w:tcMar>
              <w:top w:type="dxa" w:w="90"/>
              <w:left w:type="dxa" w:w="150"/>
              <w:bottom w:type="dxa" w:w="90"/>
              <w:right w:type="dxa" w:w="150"/>
            </w:tcMar>
          </w:tcPr>
          <w:p>
            <w:pPr>
              <w:jc w:val="left"/>
            </w:pPr>
            <w:r>
              <w:rPr>
                <w:rFonts w:ascii="Arial" w:cs="Arial" w:eastAsia="Arial" w:hAnsi="Arial"/>
                <w:b w:val="false"/>
                <w:bCs w:val="false"/>
                <w:color w:val="1A1A1A"/>
                <w:sz w:val="18"/>
                <w:szCs w:val="18"/>
              </w:rPr>
              <w:t xml:space="preserve">Part Complexity</w:t>
            </w:r>
          </w:p>
        </w:tc>
        <w:tc>
          <w:tcPr>
            <w:tcW w:type="dxa" w:w="2320"/>
            <w:tcBorders>
              <w:top w:val="single" w:color="BDD6EE" w:sz="1"/>
              <w:left w:val="single" w:color="BDD6EE" w:sz="1"/>
              <w:bottom w:val="single" w:color="BDD6EE" w:sz="1"/>
              <w:right w:val="single" w:color="BDD6EE" w:sz="1"/>
            </w:tcBorders>
            <w:shd w:fill="FFFFFF" w:val="clear"/>
            <w:tcMar>
              <w:top w:type="dxa" w:w="90"/>
              <w:left w:type="dxa" w:w="150"/>
              <w:bottom w:type="dxa" w:w="90"/>
              <w:right w:type="dxa" w:w="150"/>
            </w:tcMar>
          </w:tcPr>
          <w:p>
            <w:pPr>
              <w:jc w:val="left"/>
            </w:pPr>
            <w:r>
              <w:rPr>
                <w:rFonts w:ascii="Arial" w:cs="Arial" w:eastAsia="Arial" w:hAnsi="Arial"/>
                <w:b w:val="false"/>
                <w:bCs w:val="false"/>
                <w:color w:val="1A1A1A"/>
                <w:sz w:val="18"/>
                <w:szCs w:val="18"/>
              </w:rPr>
              <w:t xml:space="preserve">Simple to moderate; solid prismatic parts</w:t>
            </w:r>
          </w:p>
        </w:tc>
        <w:tc>
          <w:tcPr>
            <w:tcW w:type="dxa" w:w="2320"/>
            <w:tcBorders>
              <w:top w:val="single" w:color="BDD6EE" w:sz="1"/>
              <w:left w:val="single" w:color="BDD6EE" w:sz="1"/>
              <w:bottom w:val="single" w:color="BDD6EE" w:sz="1"/>
              <w:right w:val="single" w:color="BDD6EE" w:sz="1"/>
            </w:tcBorders>
            <w:shd w:fill="FFFFFF" w:val="clear"/>
            <w:tcMar>
              <w:top w:type="dxa" w:w="90"/>
              <w:left w:type="dxa" w:w="150"/>
              <w:bottom w:type="dxa" w:w="90"/>
              <w:right w:type="dxa" w:w="150"/>
            </w:tcMar>
          </w:tcPr>
          <w:p>
            <w:pPr>
              <w:jc w:val="left"/>
            </w:pPr>
            <w:r>
              <w:rPr>
                <w:rFonts w:ascii="Arial" w:cs="Arial" w:eastAsia="Arial" w:hAnsi="Arial"/>
                <w:b w:val="false"/>
                <w:bCs w:val="false"/>
                <w:color w:val="1A1A1A"/>
                <w:sz w:val="18"/>
                <w:szCs w:val="18"/>
              </w:rPr>
              <w:t xml:space="preserve">Moderate to extreme; complex freeform surfaces</w:t>
            </w:r>
          </w:p>
        </w:tc>
        <w:tc>
          <w:tcPr>
            <w:tcW w:type="dxa" w:w="2320"/>
            <w:tcBorders>
              <w:top w:val="single" w:color="BDD6EE" w:sz="1"/>
              <w:left w:val="single" w:color="BDD6EE" w:sz="1"/>
              <w:bottom w:val="single" w:color="BDD6EE" w:sz="1"/>
              <w:right w:val="single" w:color="BDD6EE" w:sz="1"/>
            </w:tcBorders>
            <w:shd w:fill="FFFFFF" w:val="clear"/>
            <w:tcMar>
              <w:top w:type="dxa" w:w="90"/>
              <w:left w:type="dxa" w:w="150"/>
              <w:bottom w:type="dxa" w:w="90"/>
              <w:right w:type="dxa" w:w="150"/>
            </w:tcMar>
          </w:tcPr>
          <w:p>
            <w:pPr>
              <w:jc w:val="left"/>
            </w:pPr>
            <w:r>
              <w:rPr>
                <w:rFonts w:ascii="Arial" w:cs="Arial" w:eastAsia="Arial" w:hAnsi="Arial"/>
                <w:b w:val="false"/>
                <w:bCs w:val="false"/>
                <w:color w:val="1A1A1A"/>
                <w:sz w:val="18"/>
                <w:szCs w:val="18"/>
              </w:rPr>
              <w:t xml:space="preserve">Full range; tightly coupled to NX CAD model</w:t>
            </w:r>
          </w:p>
        </w:tc>
      </w:tr>
      <w:tr>
        <w:tc>
          <w:tcPr>
            <w:tcW w:type="dxa" w:w="2400"/>
            <w:tcBorders>
              <w:top w:val="single" w:color="BDD6EE" w:sz="1"/>
              <w:left w:val="single" w:color="BDD6EE" w:sz="1"/>
              <w:bottom w:val="single" w:color="BDD6EE" w:sz="1"/>
              <w:right w:val="single" w:color="BDD6EE" w:sz="1"/>
            </w:tcBorders>
            <w:shd w:fill="F0F7FD" w:val="clear"/>
            <w:tcMar>
              <w:top w:type="dxa" w:w="90"/>
              <w:left w:type="dxa" w:w="150"/>
              <w:bottom w:type="dxa" w:w="90"/>
              <w:right w:type="dxa" w:w="150"/>
            </w:tcMar>
          </w:tcPr>
          <w:p>
            <w:pPr>
              <w:jc w:val="left"/>
            </w:pPr>
            <w:r>
              <w:rPr>
                <w:rFonts w:ascii="Arial" w:cs="Arial" w:eastAsia="Arial" w:hAnsi="Arial"/>
                <w:b w:val="false"/>
                <w:bCs w:val="false"/>
                <w:color w:val="1A1A1A"/>
                <w:sz w:val="18"/>
                <w:szCs w:val="18"/>
              </w:rPr>
              <w:t xml:space="preserve">5-Axis Capability</w:t>
            </w:r>
          </w:p>
        </w:tc>
        <w:tc>
          <w:tcPr>
            <w:tcW w:type="dxa" w:w="2320"/>
            <w:tcBorders>
              <w:top w:val="single" w:color="BDD6EE" w:sz="1"/>
              <w:left w:val="single" w:color="BDD6EE" w:sz="1"/>
              <w:bottom w:val="single" w:color="BDD6EE" w:sz="1"/>
              <w:right w:val="single" w:color="BDD6EE" w:sz="1"/>
            </w:tcBorders>
            <w:shd w:fill="F0F7FD" w:val="clear"/>
            <w:tcMar>
              <w:top w:type="dxa" w:w="90"/>
              <w:left w:type="dxa" w:w="150"/>
              <w:bottom w:type="dxa" w:w="90"/>
              <w:right w:type="dxa" w:w="150"/>
            </w:tcMar>
          </w:tcPr>
          <w:p>
            <w:pPr>
              <w:jc w:val="left"/>
            </w:pPr>
            <w:r>
              <w:rPr>
                <w:rFonts w:ascii="Arial" w:cs="Arial" w:eastAsia="Arial" w:hAnsi="Arial"/>
                <w:b w:val="false"/>
                <w:bCs w:val="false"/>
                <w:color w:val="1A1A1A"/>
                <w:sz w:val="18"/>
                <w:szCs w:val="18"/>
              </w:rPr>
              <w:t xml:space="preserve">Basic 5-axis; solid for 3+2</w:t>
            </w:r>
          </w:p>
        </w:tc>
        <w:tc>
          <w:tcPr>
            <w:tcW w:type="dxa" w:w="2320"/>
            <w:tcBorders>
              <w:top w:val="single" w:color="BDD6EE" w:sz="1"/>
              <w:left w:val="single" w:color="BDD6EE" w:sz="1"/>
              <w:bottom w:val="single" w:color="BDD6EE" w:sz="1"/>
              <w:right w:val="single" w:color="BDD6EE" w:sz="1"/>
            </w:tcBorders>
            <w:shd w:fill="F0F7FD" w:val="clear"/>
            <w:tcMar>
              <w:top w:type="dxa" w:w="90"/>
              <w:left w:type="dxa" w:w="150"/>
              <w:bottom w:type="dxa" w:w="90"/>
              <w:right w:type="dxa" w:w="150"/>
            </w:tcMar>
          </w:tcPr>
          <w:p>
            <w:pPr>
              <w:jc w:val="left"/>
            </w:pPr>
            <w:r>
              <w:rPr>
                <w:rFonts w:ascii="Arial" w:cs="Arial" w:eastAsia="Arial" w:hAnsi="Arial"/>
                <w:b w:val="false"/>
                <w:bCs w:val="false"/>
                <w:color w:val="1A1A1A"/>
                <w:sz w:val="18"/>
                <w:szCs w:val="18"/>
              </w:rPr>
              <w:t xml:space="preserve">Industry-leading; largest strategy library available</w:t>
            </w:r>
          </w:p>
        </w:tc>
        <w:tc>
          <w:tcPr>
            <w:tcW w:type="dxa" w:w="2320"/>
            <w:tcBorders>
              <w:top w:val="single" w:color="BDD6EE" w:sz="1"/>
              <w:left w:val="single" w:color="BDD6EE" w:sz="1"/>
              <w:bottom w:val="single" w:color="BDD6EE" w:sz="1"/>
              <w:right w:val="single" w:color="BDD6EE" w:sz="1"/>
            </w:tcBorders>
            <w:shd w:fill="F0F7FD" w:val="clear"/>
            <w:tcMar>
              <w:top w:type="dxa" w:w="90"/>
              <w:left w:type="dxa" w:w="150"/>
              <w:bottom w:type="dxa" w:w="90"/>
              <w:right w:type="dxa" w:w="150"/>
            </w:tcMar>
          </w:tcPr>
          <w:p>
            <w:pPr>
              <w:jc w:val="left"/>
            </w:pPr>
            <w:r>
              <w:rPr>
                <w:rFonts w:ascii="Arial" w:cs="Arial" w:eastAsia="Arial" w:hAnsi="Arial"/>
                <w:b w:val="false"/>
                <w:bCs w:val="false"/>
                <w:color w:val="1A1A1A"/>
                <w:sz w:val="18"/>
                <w:szCs w:val="18"/>
              </w:rPr>
              <w:t xml:space="preserve">Strong; best when part was designed in NX</w:t>
            </w:r>
          </w:p>
        </w:tc>
      </w:tr>
      <w:tr>
        <w:tc>
          <w:tcPr>
            <w:tcW w:type="dxa" w:w="2400"/>
            <w:tcBorders>
              <w:top w:val="single" w:color="BDD6EE" w:sz="1"/>
              <w:left w:val="single" w:color="BDD6EE" w:sz="1"/>
              <w:bottom w:val="single" w:color="BDD6EE" w:sz="1"/>
              <w:right w:val="single" w:color="BDD6EE" w:sz="1"/>
            </w:tcBorders>
            <w:shd w:fill="FFFFFF" w:val="clear"/>
            <w:tcMar>
              <w:top w:type="dxa" w:w="90"/>
              <w:left w:type="dxa" w:w="150"/>
              <w:bottom w:type="dxa" w:w="90"/>
              <w:right w:type="dxa" w:w="150"/>
            </w:tcMar>
          </w:tcPr>
          <w:p>
            <w:pPr>
              <w:jc w:val="left"/>
            </w:pPr>
            <w:r>
              <w:rPr>
                <w:rFonts w:ascii="Arial" w:cs="Arial" w:eastAsia="Arial" w:hAnsi="Arial"/>
                <w:b w:val="false"/>
                <w:bCs w:val="false"/>
                <w:color w:val="1A1A1A"/>
                <w:sz w:val="18"/>
                <w:szCs w:val="18"/>
              </w:rPr>
              <w:t xml:space="preserve">Surface Finish Quality</w:t>
            </w:r>
          </w:p>
        </w:tc>
        <w:tc>
          <w:tcPr>
            <w:tcW w:type="dxa" w:w="2320"/>
            <w:tcBorders>
              <w:top w:val="single" w:color="BDD6EE" w:sz="1"/>
              <w:left w:val="single" w:color="BDD6EE" w:sz="1"/>
              <w:bottom w:val="single" w:color="BDD6EE" w:sz="1"/>
              <w:right w:val="single" w:color="BDD6EE" w:sz="1"/>
            </w:tcBorders>
            <w:shd w:fill="FFFFFF" w:val="clear"/>
            <w:tcMar>
              <w:top w:type="dxa" w:w="90"/>
              <w:left w:type="dxa" w:w="150"/>
              <w:bottom w:type="dxa" w:w="90"/>
              <w:right w:type="dxa" w:w="150"/>
            </w:tcMar>
          </w:tcPr>
          <w:p>
            <w:pPr>
              <w:jc w:val="left"/>
            </w:pPr>
            <w:r>
              <w:rPr>
                <w:rFonts w:ascii="Arial" w:cs="Arial" w:eastAsia="Arial" w:hAnsi="Arial"/>
                <w:b w:val="false"/>
                <w:bCs w:val="false"/>
                <w:color w:val="1A1A1A"/>
                <w:sz w:val="18"/>
                <w:szCs w:val="18"/>
              </w:rPr>
              <w:t xml:space="preserve">Good</w:t>
            </w:r>
          </w:p>
        </w:tc>
        <w:tc>
          <w:tcPr>
            <w:tcW w:type="dxa" w:w="2320"/>
            <w:tcBorders>
              <w:top w:val="single" w:color="BDD6EE" w:sz="1"/>
              <w:left w:val="single" w:color="BDD6EE" w:sz="1"/>
              <w:bottom w:val="single" w:color="BDD6EE" w:sz="1"/>
              <w:right w:val="single" w:color="BDD6EE" w:sz="1"/>
            </w:tcBorders>
            <w:shd w:fill="FFFFFF" w:val="clear"/>
            <w:tcMar>
              <w:top w:type="dxa" w:w="90"/>
              <w:left w:type="dxa" w:w="150"/>
              <w:bottom w:type="dxa" w:w="90"/>
              <w:right w:type="dxa" w:w="150"/>
            </w:tcMar>
          </w:tcPr>
          <w:p>
            <w:pPr>
              <w:jc w:val="left"/>
            </w:pPr>
            <w:r>
              <w:rPr>
                <w:rFonts w:ascii="Arial" w:cs="Arial" w:eastAsia="Arial" w:hAnsi="Arial"/>
                <w:b w:val="false"/>
                <w:bCs w:val="false"/>
                <w:color w:val="1A1A1A"/>
                <w:sz w:val="18"/>
                <w:szCs w:val="18"/>
              </w:rPr>
              <w:t xml:space="preserve">Best-in-class for freeform surfaces</w:t>
            </w:r>
          </w:p>
        </w:tc>
        <w:tc>
          <w:tcPr>
            <w:tcW w:type="dxa" w:w="2320"/>
            <w:tcBorders>
              <w:top w:val="single" w:color="BDD6EE" w:sz="1"/>
              <w:left w:val="single" w:color="BDD6EE" w:sz="1"/>
              <w:bottom w:val="single" w:color="BDD6EE" w:sz="1"/>
              <w:right w:val="single" w:color="BDD6EE" w:sz="1"/>
            </w:tcBorders>
            <w:shd w:fill="FFFFFF" w:val="clear"/>
            <w:tcMar>
              <w:top w:type="dxa" w:w="90"/>
              <w:left w:type="dxa" w:w="150"/>
              <w:bottom w:type="dxa" w:w="90"/>
              <w:right w:type="dxa" w:w="150"/>
            </w:tcMar>
          </w:tcPr>
          <w:p>
            <w:pPr>
              <w:jc w:val="left"/>
            </w:pPr>
            <w:r>
              <w:rPr>
                <w:rFonts w:ascii="Arial" w:cs="Arial" w:eastAsia="Arial" w:hAnsi="Arial"/>
                <w:b w:val="false"/>
                <w:bCs w:val="false"/>
                <w:color w:val="1A1A1A"/>
                <w:sz w:val="18"/>
                <w:szCs w:val="18"/>
              </w:rPr>
              <w:t xml:space="preserve">Very good</w:t>
            </w:r>
          </w:p>
        </w:tc>
      </w:tr>
      <w:tr>
        <w:tc>
          <w:tcPr>
            <w:tcW w:type="dxa" w:w="2400"/>
            <w:tcBorders>
              <w:top w:val="single" w:color="BDD6EE" w:sz="1"/>
              <w:left w:val="single" w:color="BDD6EE" w:sz="1"/>
              <w:bottom w:val="single" w:color="BDD6EE" w:sz="1"/>
              <w:right w:val="single" w:color="BDD6EE" w:sz="1"/>
            </w:tcBorders>
            <w:shd w:fill="F0F7FD" w:val="clear"/>
            <w:tcMar>
              <w:top w:type="dxa" w:w="90"/>
              <w:left w:type="dxa" w:w="150"/>
              <w:bottom w:type="dxa" w:w="90"/>
              <w:right w:type="dxa" w:w="150"/>
            </w:tcMar>
          </w:tcPr>
          <w:p>
            <w:pPr>
              <w:jc w:val="left"/>
            </w:pPr>
            <w:r>
              <w:rPr>
                <w:rFonts w:ascii="Arial" w:cs="Arial" w:eastAsia="Arial" w:hAnsi="Arial"/>
                <w:b w:val="false"/>
                <w:bCs w:val="false"/>
                <w:color w:val="1A1A1A"/>
                <w:sz w:val="18"/>
                <w:szCs w:val="18"/>
              </w:rPr>
              <w:t xml:space="preserve">API / Automation</w:t>
            </w:r>
          </w:p>
        </w:tc>
        <w:tc>
          <w:tcPr>
            <w:tcW w:type="dxa" w:w="2320"/>
            <w:tcBorders>
              <w:top w:val="single" w:color="BDD6EE" w:sz="1"/>
              <w:left w:val="single" w:color="BDD6EE" w:sz="1"/>
              <w:bottom w:val="single" w:color="BDD6EE" w:sz="1"/>
              <w:right w:val="single" w:color="BDD6EE" w:sz="1"/>
            </w:tcBorders>
            <w:shd w:fill="F0F7FD" w:val="clear"/>
            <w:tcMar>
              <w:top w:type="dxa" w:w="90"/>
              <w:left w:type="dxa" w:w="150"/>
              <w:bottom w:type="dxa" w:w="90"/>
              <w:right w:type="dxa" w:w="150"/>
            </w:tcMar>
          </w:tcPr>
          <w:p>
            <w:pPr>
              <w:jc w:val="left"/>
            </w:pPr>
            <w:r>
              <w:rPr>
                <w:rFonts w:ascii="Arial" w:cs="Arial" w:eastAsia="Arial" w:hAnsi="Arial"/>
                <w:b w:val="false"/>
                <w:bCs w:val="false"/>
                <w:color w:val="1A1A1A"/>
                <w:sz w:val="18"/>
                <w:szCs w:val="18"/>
              </w:rPr>
              <w:t xml:space="preserve">Python (adsk.cam); easiest to script; cloud-friendly</w:t>
            </w:r>
          </w:p>
        </w:tc>
        <w:tc>
          <w:tcPr>
            <w:tcW w:type="dxa" w:w="2320"/>
            <w:tcBorders>
              <w:top w:val="single" w:color="BDD6EE" w:sz="1"/>
              <w:left w:val="single" w:color="BDD6EE" w:sz="1"/>
              <w:bottom w:val="single" w:color="BDD6EE" w:sz="1"/>
              <w:right w:val="single" w:color="BDD6EE" w:sz="1"/>
            </w:tcBorders>
            <w:shd w:fill="F0F7FD" w:val="clear"/>
            <w:tcMar>
              <w:top w:type="dxa" w:w="90"/>
              <w:left w:type="dxa" w:w="150"/>
              <w:bottom w:type="dxa" w:w="90"/>
              <w:right w:type="dxa" w:w="150"/>
            </w:tcMar>
          </w:tcPr>
          <w:p>
            <w:pPr>
              <w:jc w:val="left"/>
            </w:pPr>
            <w:r>
              <w:rPr>
                <w:rFonts w:ascii="Arial" w:cs="Arial" w:eastAsia="Arial" w:hAnsi="Arial"/>
                <w:b w:val="false"/>
                <w:bCs w:val="false"/>
                <w:color w:val="1A1A1A"/>
                <w:sz w:val="18"/>
                <w:szCs w:val="18"/>
              </w:rPr>
              <w:t xml:space="preserve">C# .NET + macro language; powerful but lower dev priority</w:t>
            </w:r>
          </w:p>
        </w:tc>
        <w:tc>
          <w:tcPr>
            <w:tcW w:type="dxa" w:w="2320"/>
            <w:tcBorders>
              <w:top w:val="single" w:color="BDD6EE" w:sz="1"/>
              <w:left w:val="single" w:color="BDD6EE" w:sz="1"/>
              <w:bottom w:val="single" w:color="BDD6EE" w:sz="1"/>
              <w:right w:val="single" w:color="BDD6EE" w:sz="1"/>
            </w:tcBorders>
            <w:shd w:fill="F0F7FD" w:val="clear"/>
            <w:tcMar>
              <w:top w:type="dxa" w:w="90"/>
              <w:left w:type="dxa" w:w="150"/>
              <w:bottom w:type="dxa" w:w="90"/>
              <w:right w:type="dxa" w:w="150"/>
            </w:tcMar>
          </w:tcPr>
          <w:p>
            <w:pPr>
              <w:jc w:val="left"/>
            </w:pPr>
            <w:r>
              <w:rPr>
                <w:rFonts w:ascii="Arial" w:cs="Arial" w:eastAsia="Arial" w:hAnsi="Arial"/>
                <w:b w:val="false"/>
                <w:bCs w:val="false"/>
                <w:color w:val="1A1A1A"/>
                <w:sz w:val="18"/>
                <w:szCs w:val="18"/>
              </w:rPr>
              <w:t xml:space="preserve">NXOpen (C#/Python/Java); deep but very complex</w:t>
            </w:r>
          </w:p>
        </w:tc>
      </w:tr>
      <w:tr>
        <w:tc>
          <w:tcPr>
            <w:tcW w:type="dxa" w:w="2400"/>
            <w:tcBorders>
              <w:top w:val="single" w:color="BDD6EE" w:sz="1"/>
              <w:left w:val="single" w:color="BDD6EE" w:sz="1"/>
              <w:bottom w:val="single" w:color="BDD6EE" w:sz="1"/>
              <w:right w:val="single" w:color="BDD6EE" w:sz="1"/>
            </w:tcBorders>
            <w:shd w:fill="FFFFFF" w:val="clear"/>
            <w:tcMar>
              <w:top w:type="dxa" w:w="90"/>
              <w:left w:type="dxa" w:w="150"/>
              <w:bottom w:type="dxa" w:w="90"/>
              <w:right w:type="dxa" w:w="150"/>
            </w:tcMar>
          </w:tcPr>
          <w:p>
            <w:pPr>
              <w:jc w:val="left"/>
            </w:pPr>
            <w:r>
              <w:rPr>
                <w:rFonts w:ascii="Arial" w:cs="Arial" w:eastAsia="Arial" w:hAnsi="Arial"/>
                <w:b w:val="false"/>
                <w:bCs w:val="false"/>
                <w:color w:val="1A1A1A"/>
                <w:sz w:val="18"/>
                <w:szCs w:val="18"/>
              </w:rPr>
              <w:t xml:space="preserve">AI/Automation Roadmap</w:t>
            </w:r>
          </w:p>
        </w:tc>
        <w:tc>
          <w:tcPr>
            <w:tcW w:type="dxa" w:w="2320"/>
            <w:tcBorders>
              <w:top w:val="single" w:color="BDD6EE" w:sz="1"/>
              <w:left w:val="single" w:color="BDD6EE" w:sz="1"/>
              <w:bottom w:val="single" w:color="BDD6EE" w:sz="1"/>
              <w:right w:val="single" w:color="BDD6EE" w:sz="1"/>
            </w:tcBorders>
            <w:shd w:fill="FFFFFF" w:val="clear"/>
            <w:tcMar>
              <w:top w:type="dxa" w:w="90"/>
              <w:left w:type="dxa" w:w="150"/>
              <w:bottom w:type="dxa" w:w="90"/>
              <w:right w:type="dxa" w:w="150"/>
            </w:tcMar>
          </w:tcPr>
          <w:p>
            <w:pPr>
              <w:jc w:val="left"/>
            </w:pPr>
            <w:r>
              <w:rPr>
                <w:rFonts w:ascii="Arial" w:cs="Arial" w:eastAsia="Arial" w:hAnsi="Arial"/>
                <w:b w:val="false"/>
                <w:bCs w:val="false"/>
                <w:color w:val="1A1A1A"/>
                <w:sz w:val="18"/>
                <w:szCs w:val="18"/>
              </w:rPr>
              <w:t xml:space="preserve">Autodesk has active AI roadmap for Fusion CAM</w:t>
            </w:r>
          </w:p>
        </w:tc>
        <w:tc>
          <w:tcPr>
            <w:tcW w:type="dxa" w:w="2320"/>
            <w:tcBorders>
              <w:top w:val="single" w:color="BDD6EE" w:sz="1"/>
              <w:left w:val="single" w:color="BDD6EE" w:sz="1"/>
              <w:bottom w:val="single" w:color="BDD6EE" w:sz="1"/>
              <w:right w:val="single" w:color="BDD6EE" w:sz="1"/>
            </w:tcBorders>
            <w:shd w:fill="FFFFFF" w:val="clear"/>
            <w:tcMar>
              <w:top w:type="dxa" w:w="90"/>
              <w:left w:type="dxa" w:w="150"/>
              <w:bottom w:type="dxa" w:w="90"/>
              <w:right w:type="dxa" w:w="150"/>
            </w:tcMar>
          </w:tcPr>
          <w:p>
            <w:pPr>
              <w:jc w:val="left"/>
            </w:pPr>
            <w:r>
              <w:rPr>
                <w:rFonts w:ascii="Arial" w:cs="Arial" w:eastAsia="Arial" w:hAnsi="Arial"/>
                <w:b w:val="false"/>
                <w:bCs w:val="false"/>
                <w:color w:val="1A1A1A"/>
                <w:sz w:val="18"/>
                <w:szCs w:val="18"/>
              </w:rPr>
              <w:t xml:space="preserve">Autodesk confirmed no current AI plans in PowerMill (Aug 2025)</w:t>
            </w:r>
          </w:p>
        </w:tc>
        <w:tc>
          <w:tcPr>
            <w:tcW w:type="dxa" w:w="2320"/>
            <w:tcBorders>
              <w:top w:val="single" w:color="BDD6EE" w:sz="1"/>
              <w:left w:val="single" w:color="BDD6EE" w:sz="1"/>
              <w:bottom w:val="single" w:color="BDD6EE" w:sz="1"/>
              <w:right w:val="single" w:color="BDD6EE" w:sz="1"/>
            </w:tcBorders>
            <w:shd w:fill="FFFFFF" w:val="clear"/>
            <w:tcMar>
              <w:top w:type="dxa" w:w="90"/>
              <w:left w:type="dxa" w:w="150"/>
              <w:bottom w:type="dxa" w:w="90"/>
              <w:right w:type="dxa" w:w="150"/>
            </w:tcMar>
          </w:tcPr>
          <w:p>
            <w:pPr>
              <w:jc w:val="left"/>
            </w:pPr>
            <w:r>
              <w:rPr>
                <w:rFonts w:ascii="Arial" w:cs="Arial" w:eastAsia="Arial" w:hAnsi="Arial"/>
                <w:b w:val="false"/>
                <w:bCs w:val="false"/>
                <w:color w:val="1A1A1A"/>
                <w:sz w:val="18"/>
                <w:szCs w:val="18"/>
              </w:rPr>
              <w:t xml:space="preserve">Siemens + CloudNC active partnership for NX AI</w:t>
            </w:r>
          </w:p>
        </w:tc>
      </w:tr>
      <w:tr>
        <w:tc>
          <w:tcPr>
            <w:tcW w:type="dxa" w:w="2400"/>
            <w:tcBorders>
              <w:top w:val="single" w:color="BDD6EE" w:sz="1"/>
              <w:left w:val="single" w:color="BDD6EE" w:sz="1"/>
              <w:bottom w:val="single" w:color="BDD6EE" w:sz="1"/>
              <w:right w:val="single" w:color="BDD6EE" w:sz="1"/>
            </w:tcBorders>
            <w:shd w:fill="F0F7FD" w:val="clear"/>
            <w:tcMar>
              <w:top w:type="dxa" w:w="90"/>
              <w:left w:type="dxa" w:w="150"/>
              <w:bottom w:type="dxa" w:w="90"/>
              <w:right w:type="dxa" w:w="150"/>
            </w:tcMar>
          </w:tcPr>
          <w:p>
            <w:pPr>
              <w:jc w:val="left"/>
            </w:pPr>
            <w:r>
              <w:rPr>
                <w:rFonts w:ascii="Arial" w:cs="Arial" w:eastAsia="Arial" w:hAnsi="Arial"/>
                <w:b w:val="false"/>
                <w:bCs w:val="false"/>
                <w:color w:val="1A1A1A"/>
                <w:sz w:val="18"/>
                <w:szCs w:val="18"/>
              </w:rPr>
              <w:t xml:space="preserve">Typical User</w:t>
            </w:r>
          </w:p>
        </w:tc>
        <w:tc>
          <w:tcPr>
            <w:tcW w:type="dxa" w:w="2320"/>
            <w:tcBorders>
              <w:top w:val="single" w:color="BDD6EE" w:sz="1"/>
              <w:left w:val="single" w:color="BDD6EE" w:sz="1"/>
              <w:bottom w:val="single" w:color="BDD6EE" w:sz="1"/>
              <w:right w:val="single" w:color="BDD6EE" w:sz="1"/>
            </w:tcBorders>
            <w:shd w:fill="F0F7FD" w:val="clear"/>
            <w:tcMar>
              <w:top w:type="dxa" w:w="90"/>
              <w:left w:type="dxa" w:w="150"/>
              <w:bottom w:type="dxa" w:w="90"/>
              <w:right w:type="dxa" w:w="150"/>
            </w:tcMar>
          </w:tcPr>
          <w:p>
            <w:pPr>
              <w:jc w:val="left"/>
            </w:pPr>
            <w:r>
              <w:rPr>
                <w:rFonts w:ascii="Arial" w:cs="Arial" w:eastAsia="Arial" w:hAnsi="Arial"/>
                <w:b w:val="false"/>
                <w:bCs w:val="false"/>
                <w:color w:val="1A1A1A"/>
                <w:sz w:val="18"/>
                <w:szCs w:val="18"/>
              </w:rPr>
              <w:t xml:space="preserve">Product designer, SME machinist</w:t>
            </w:r>
          </w:p>
        </w:tc>
        <w:tc>
          <w:tcPr>
            <w:tcW w:type="dxa" w:w="2320"/>
            <w:tcBorders>
              <w:top w:val="single" w:color="BDD6EE" w:sz="1"/>
              <w:left w:val="single" w:color="BDD6EE" w:sz="1"/>
              <w:bottom w:val="single" w:color="BDD6EE" w:sz="1"/>
              <w:right w:val="single" w:color="BDD6EE" w:sz="1"/>
            </w:tcBorders>
            <w:shd w:fill="F0F7FD" w:val="clear"/>
            <w:tcMar>
              <w:top w:type="dxa" w:w="90"/>
              <w:left w:type="dxa" w:w="150"/>
              <w:bottom w:type="dxa" w:w="90"/>
              <w:right w:type="dxa" w:w="150"/>
            </w:tcMar>
          </w:tcPr>
          <w:p>
            <w:pPr>
              <w:jc w:val="left"/>
            </w:pPr>
            <w:r>
              <w:rPr>
                <w:rFonts w:ascii="Arial" w:cs="Arial" w:eastAsia="Arial" w:hAnsi="Arial"/>
                <w:b w:val="false"/>
                <w:bCs w:val="false"/>
                <w:color w:val="1A1A1A"/>
                <w:sz w:val="18"/>
                <w:szCs w:val="18"/>
              </w:rPr>
              <w:t xml:space="preserve">Senior CNC programmer, production engineer</w:t>
            </w:r>
          </w:p>
        </w:tc>
        <w:tc>
          <w:tcPr>
            <w:tcW w:type="dxa" w:w="2320"/>
            <w:tcBorders>
              <w:top w:val="single" w:color="BDD6EE" w:sz="1"/>
              <w:left w:val="single" w:color="BDD6EE" w:sz="1"/>
              <w:bottom w:val="single" w:color="BDD6EE" w:sz="1"/>
              <w:right w:val="single" w:color="BDD6EE" w:sz="1"/>
            </w:tcBorders>
            <w:shd w:fill="F0F7FD" w:val="clear"/>
            <w:tcMar>
              <w:top w:type="dxa" w:w="90"/>
              <w:left w:type="dxa" w:w="150"/>
              <w:bottom w:type="dxa" w:w="90"/>
              <w:right w:type="dxa" w:w="150"/>
            </w:tcMar>
          </w:tcPr>
          <w:p>
            <w:pPr>
              <w:jc w:val="left"/>
            </w:pPr>
            <w:r>
              <w:rPr>
                <w:rFonts w:ascii="Arial" w:cs="Arial" w:eastAsia="Arial" w:hAnsi="Arial"/>
                <w:b w:val="false"/>
                <w:bCs w:val="false"/>
                <w:color w:val="1A1A1A"/>
                <w:sz w:val="18"/>
                <w:szCs w:val="18"/>
              </w:rPr>
              <w:t xml:space="preserve">Large OEM; aerospace tier-1 supplier</w:t>
            </w:r>
          </w:p>
        </w:tc>
      </w:tr>
      <w:tr>
        <w:tc>
          <w:tcPr>
            <w:tcW w:type="dxa" w:w="2400"/>
            <w:tcBorders>
              <w:top w:val="single" w:color="BDD6EE" w:sz="1"/>
              <w:left w:val="single" w:color="BDD6EE" w:sz="1"/>
              <w:bottom w:val="single" w:color="BDD6EE" w:sz="1"/>
              <w:right w:val="single" w:color="BDD6EE" w:sz="1"/>
            </w:tcBorders>
            <w:shd w:fill="FFFFFF" w:val="clear"/>
            <w:tcMar>
              <w:top w:type="dxa" w:w="90"/>
              <w:left w:type="dxa" w:w="150"/>
              <w:bottom w:type="dxa" w:w="90"/>
              <w:right w:type="dxa" w:w="150"/>
            </w:tcMar>
          </w:tcPr>
          <w:p>
            <w:pPr>
              <w:jc w:val="left"/>
            </w:pPr>
            <w:r>
              <w:rPr>
                <w:rFonts w:ascii="Arial" w:cs="Arial" w:eastAsia="Arial" w:hAnsi="Arial"/>
                <w:b w:val="false"/>
                <w:bCs w:val="false"/>
                <w:color w:val="1A1A1A"/>
                <w:sz w:val="18"/>
                <w:szCs w:val="18"/>
              </w:rPr>
              <w:t xml:space="preserve">Pricing</w:t>
            </w:r>
          </w:p>
        </w:tc>
        <w:tc>
          <w:tcPr>
            <w:tcW w:type="dxa" w:w="2320"/>
            <w:tcBorders>
              <w:top w:val="single" w:color="BDD6EE" w:sz="1"/>
              <w:left w:val="single" w:color="BDD6EE" w:sz="1"/>
              <w:bottom w:val="single" w:color="BDD6EE" w:sz="1"/>
              <w:right w:val="single" w:color="BDD6EE" w:sz="1"/>
            </w:tcBorders>
            <w:shd w:fill="FFFFFF" w:val="clear"/>
            <w:tcMar>
              <w:top w:type="dxa" w:w="90"/>
              <w:left w:type="dxa" w:w="150"/>
              <w:bottom w:type="dxa" w:w="90"/>
              <w:right w:type="dxa" w:w="150"/>
            </w:tcMar>
          </w:tcPr>
          <w:p>
            <w:pPr>
              <w:jc w:val="left"/>
            </w:pPr>
            <w:r>
              <w:rPr>
                <w:rFonts w:ascii="Arial" w:cs="Arial" w:eastAsia="Arial" w:hAnsi="Arial"/>
                <w:b w:val="false"/>
                <w:bCs w:val="false"/>
                <w:color w:val="1A1A1A"/>
                <w:sz w:val="18"/>
                <w:szCs w:val="18"/>
              </w:rPr>
              <w:t xml:space="preserve">~$545/year (commercial Fusion sub)</w:t>
            </w:r>
          </w:p>
        </w:tc>
        <w:tc>
          <w:tcPr>
            <w:tcW w:type="dxa" w:w="2320"/>
            <w:tcBorders>
              <w:top w:val="single" w:color="BDD6EE" w:sz="1"/>
              <w:left w:val="single" w:color="BDD6EE" w:sz="1"/>
              <w:bottom w:val="single" w:color="BDD6EE" w:sz="1"/>
              <w:right w:val="single" w:color="BDD6EE" w:sz="1"/>
            </w:tcBorders>
            <w:shd w:fill="FFFFFF" w:val="clear"/>
            <w:tcMar>
              <w:top w:type="dxa" w:w="90"/>
              <w:left w:type="dxa" w:w="150"/>
              <w:bottom w:type="dxa" w:w="90"/>
              <w:right w:type="dxa" w:w="150"/>
            </w:tcMar>
          </w:tcPr>
          <w:p>
            <w:pPr>
              <w:jc w:val="left"/>
            </w:pPr>
            <w:r>
              <w:rPr>
                <w:rFonts w:ascii="Arial" w:cs="Arial" w:eastAsia="Arial" w:hAnsi="Arial"/>
                <w:b w:val="false"/>
                <w:bCs w:val="false"/>
                <w:color w:val="1A1A1A"/>
                <w:sz w:val="18"/>
                <w:szCs w:val="18"/>
              </w:rPr>
              <w:t xml:space="preserve">$5,000–$15,000+/seat/year (enterprise)</w:t>
            </w:r>
          </w:p>
        </w:tc>
        <w:tc>
          <w:tcPr>
            <w:tcW w:type="dxa" w:w="2320"/>
            <w:tcBorders>
              <w:top w:val="single" w:color="BDD6EE" w:sz="1"/>
              <w:left w:val="single" w:color="BDD6EE" w:sz="1"/>
              <w:bottom w:val="single" w:color="BDD6EE" w:sz="1"/>
              <w:right w:val="single" w:color="BDD6EE" w:sz="1"/>
            </w:tcBorders>
            <w:shd w:fill="FFFFFF" w:val="clear"/>
            <w:tcMar>
              <w:top w:type="dxa" w:w="90"/>
              <w:left w:type="dxa" w:w="150"/>
              <w:bottom w:type="dxa" w:w="90"/>
              <w:right w:type="dxa" w:w="150"/>
            </w:tcMar>
          </w:tcPr>
          <w:p>
            <w:pPr>
              <w:jc w:val="left"/>
            </w:pPr>
            <w:r>
              <w:rPr>
                <w:rFonts w:ascii="Arial" w:cs="Arial" w:eastAsia="Arial" w:hAnsi="Arial"/>
                <w:b w:val="false"/>
                <w:bCs w:val="false"/>
                <w:color w:val="1A1A1A"/>
                <w:sz w:val="18"/>
                <w:szCs w:val="18"/>
              </w:rPr>
              <w:t xml:space="preserve">Similar to PowerMill; large site licenses</w:t>
            </w:r>
          </w:p>
        </w:tc>
      </w:tr>
      <w:tr>
        <w:tc>
          <w:tcPr>
            <w:tcW w:type="dxa" w:w="2400"/>
            <w:tcBorders>
              <w:top w:val="single" w:color="BDD6EE" w:sz="1"/>
              <w:left w:val="single" w:color="BDD6EE" w:sz="1"/>
              <w:bottom w:val="single" w:color="BDD6EE" w:sz="1"/>
              <w:right w:val="single" w:color="BDD6EE" w:sz="1"/>
            </w:tcBorders>
            <w:shd w:fill="F0F7FD" w:val="clear"/>
            <w:tcMar>
              <w:top w:type="dxa" w:w="90"/>
              <w:left w:type="dxa" w:w="150"/>
              <w:bottom w:type="dxa" w:w="90"/>
              <w:right w:type="dxa" w:w="150"/>
            </w:tcMar>
          </w:tcPr>
          <w:p>
            <w:pPr>
              <w:jc w:val="left"/>
            </w:pPr>
            <w:r>
              <w:rPr>
                <w:rFonts w:ascii="Arial" w:cs="Arial" w:eastAsia="Arial" w:hAnsi="Arial"/>
                <w:b w:val="false"/>
                <w:bCs w:val="false"/>
                <w:color w:val="1A1A1A"/>
                <w:sz w:val="18"/>
                <w:szCs w:val="18"/>
              </w:rPr>
              <w:t xml:space="preserve">Deployment</w:t>
            </w:r>
          </w:p>
        </w:tc>
        <w:tc>
          <w:tcPr>
            <w:tcW w:type="dxa" w:w="2320"/>
            <w:tcBorders>
              <w:top w:val="single" w:color="BDD6EE" w:sz="1"/>
              <w:left w:val="single" w:color="BDD6EE" w:sz="1"/>
              <w:bottom w:val="single" w:color="BDD6EE" w:sz="1"/>
              <w:right w:val="single" w:color="BDD6EE" w:sz="1"/>
            </w:tcBorders>
            <w:shd w:fill="F0F7FD" w:val="clear"/>
            <w:tcMar>
              <w:top w:type="dxa" w:w="90"/>
              <w:left w:type="dxa" w:w="150"/>
              <w:bottom w:type="dxa" w:w="90"/>
              <w:right w:type="dxa" w:w="150"/>
            </w:tcMar>
          </w:tcPr>
          <w:p>
            <w:pPr>
              <w:jc w:val="left"/>
            </w:pPr>
            <w:r>
              <w:rPr>
                <w:rFonts w:ascii="Arial" w:cs="Arial" w:eastAsia="Arial" w:hAnsi="Arial"/>
                <w:b w:val="false"/>
                <w:bCs w:val="false"/>
                <w:color w:val="1A1A1A"/>
                <w:sz w:val="18"/>
                <w:szCs w:val="18"/>
              </w:rPr>
              <w:t xml:space="preserve">Cloud + desktop</w:t>
            </w:r>
          </w:p>
        </w:tc>
        <w:tc>
          <w:tcPr>
            <w:tcW w:type="dxa" w:w="2320"/>
            <w:tcBorders>
              <w:top w:val="single" w:color="BDD6EE" w:sz="1"/>
              <w:left w:val="single" w:color="BDD6EE" w:sz="1"/>
              <w:bottom w:val="single" w:color="BDD6EE" w:sz="1"/>
              <w:right w:val="single" w:color="BDD6EE" w:sz="1"/>
            </w:tcBorders>
            <w:shd w:fill="F0F7FD" w:val="clear"/>
            <w:tcMar>
              <w:top w:type="dxa" w:w="90"/>
              <w:left w:type="dxa" w:w="150"/>
              <w:bottom w:type="dxa" w:w="90"/>
              <w:right w:type="dxa" w:w="150"/>
            </w:tcMar>
          </w:tcPr>
          <w:p>
            <w:pPr>
              <w:jc w:val="left"/>
            </w:pPr>
            <w:r>
              <w:rPr>
                <w:rFonts w:ascii="Arial" w:cs="Arial" w:eastAsia="Arial" w:hAnsi="Arial"/>
                <w:b w:val="false"/>
                <w:bCs w:val="false"/>
                <w:color w:val="1A1A1A"/>
                <w:sz w:val="18"/>
                <w:szCs w:val="18"/>
              </w:rPr>
              <w:t xml:space="preserve">Desktop only (Windows)</w:t>
            </w:r>
          </w:p>
        </w:tc>
        <w:tc>
          <w:tcPr>
            <w:tcW w:type="dxa" w:w="2320"/>
            <w:tcBorders>
              <w:top w:val="single" w:color="BDD6EE" w:sz="1"/>
              <w:left w:val="single" w:color="BDD6EE" w:sz="1"/>
              <w:bottom w:val="single" w:color="BDD6EE" w:sz="1"/>
              <w:right w:val="single" w:color="BDD6EE" w:sz="1"/>
            </w:tcBorders>
            <w:shd w:fill="F0F7FD" w:val="clear"/>
            <w:tcMar>
              <w:top w:type="dxa" w:w="90"/>
              <w:left w:type="dxa" w:w="150"/>
              <w:bottom w:type="dxa" w:w="90"/>
              <w:right w:type="dxa" w:w="150"/>
            </w:tcMar>
          </w:tcPr>
          <w:p>
            <w:pPr>
              <w:jc w:val="left"/>
            </w:pPr>
            <w:r>
              <w:rPr>
                <w:rFonts w:ascii="Arial" w:cs="Arial" w:eastAsia="Arial" w:hAnsi="Arial"/>
                <w:b w:val="false"/>
                <w:bCs w:val="false"/>
                <w:color w:val="1A1A1A"/>
                <w:sz w:val="18"/>
                <w:szCs w:val="18"/>
              </w:rPr>
              <w:t xml:space="preserve">Desktop only (Windows/Linux)</w:t>
            </w:r>
          </w:p>
        </w:tc>
      </w:tr>
      <w:tr>
        <w:tc>
          <w:tcPr>
            <w:tcW w:type="dxa" w:w="2400"/>
            <w:tcBorders>
              <w:top w:val="single" w:color="BDD6EE" w:sz="1"/>
              <w:left w:val="single" w:color="BDD6EE" w:sz="1"/>
              <w:bottom w:val="single" w:color="BDD6EE" w:sz="1"/>
              <w:right w:val="single" w:color="BDD6EE" w:sz="1"/>
            </w:tcBorders>
            <w:shd w:fill="FFFFFF" w:val="clear"/>
            <w:tcMar>
              <w:top w:type="dxa" w:w="90"/>
              <w:left w:type="dxa" w:w="150"/>
              <w:bottom w:type="dxa" w:w="90"/>
              <w:right w:type="dxa" w:w="150"/>
            </w:tcMar>
          </w:tcPr>
          <w:p>
            <w:pPr>
              <w:jc w:val="left"/>
            </w:pPr>
            <w:r>
              <w:rPr>
                <w:rFonts w:ascii="Arial" w:cs="Arial" w:eastAsia="Arial" w:hAnsi="Arial"/>
                <w:b w:val="false"/>
                <w:bCs w:val="false"/>
                <w:color w:val="1A1A1A"/>
                <w:sz w:val="18"/>
                <w:szCs w:val="18"/>
              </w:rPr>
              <w:t xml:space="preserve">AI Gap (for us)</w:t>
            </w:r>
          </w:p>
        </w:tc>
        <w:tc>
          <w:tcPr>
            <w:tcW w:type="dxa" w:w="2320"/>
            <w:tcBorders>
              <w:top w:val="single" w:color="BDD6EE" w:sz="1"/>
              <w:left w:val="single" w:color="BDD6EE" w:sz="1"/>
              <w:bottom w:val="single" w:color="BDD6EE" w:sz="1"/>
              <w:right w:val="single" w:color="BDD6EE" w:sz="1"/>
            </w:tcBorders>
            <w:shd w:fill="FFFFFF" w:val="clear"/>
            <w:tcMar>
              <w:top w:type="dxa" w:w="90"/>
              <w:left w:type="dxa" w:w="150"/>
              <w:bottom w:type="dxa" w:w="90"/>
              <w:right w:type="dxa" w:w="150"/>
            </w:tcMar>
          </w:tcPr>
          <w:p>
            <w:pPr>
              <w:jc w:val="left"/>
            </w:pPr>
            <w:r>
              <w:rPr>
                <w:rFonts w:ascii="Arial" w:cs="Arial" w:eastAsia="Arial" w:hAnsi="Arial"/>
                <w:b w:val="false"/>
                <w:bCs w:val="false"/>
                <w:color w:val="1A1A1A"/>
                <w:sz w:val="18"/>
                <w:szCs w:val="18"/>
              </w:rPr>
              <w:t xml:space="preserve">LOW — Autodesk filling this in Fusion</w:t>
            </w:r>
          </w:p>
        </w:tc>
        <w:tc>
          <w:tcPr>
            <w:tcW w:type="dxa" w:w="2320"/>
            <w:tcBorders>
              <w:top w:val="single" w:color="BDD6EE" w:sz="1"/>
              <w:left w:val="single" w:color="BDD6EE" w:sz="1"/>
              <w:bottom w:val="single" w:color="BDD6EE" w:sz="1"/>
              <w:right w:val="single" w:color="BDD6EE" w:sz="1"/>
            </w:tcBorders>
            <w:shd w:fill="FFFFFF" w:val="clear"/>
            <w:tcMar>
              <w:top w:type="dxa" w:w="90"/>
              <w:left w:type="dxa" w:w="150"/>
              <w:bottom w:type="dxa" w:w="90"/>
              <w:right w:type="dxa" w:w="150"/>
            </w:tcMar>
          </w:tcPr>
          <w:p>
            <w:pPr>
              <w:jc w:val="left"/>
            </w:pPr>
            <w:r>
              <w:rPr>
                <w:rFonts w:ascii="Arial" w:cs="Arial" w:eastAsia="Arial" w:hAnsi="Arial"/>
                <w:b w:val="false"/>
                <w:bCs w:val="false"/>
                <w:color w:val="1A1A1A"/>
                <w:sz w:val="18"/>
                <w:szCs w:val="18"/>
              </w:rPr>
              <w:t xml:space="preserve">HIGH — confirmed empty by Autodesk; no current AI plans</w:t>
            </w:r>
          </w:p>
        </w:tc>
        <w:tc>
          <w:tcPr>
            <w:tcW w:type="dxa" w:w="2320"/>
            <w:tcBorders>
              <w:top w:val="single" w:color="BDD6EE" w:sz="1"/>
              <w:left w:val="single" w:color="BDD6EE" w:sz="1"/>
              <w:bottom w:val="single" w:color="BDD6EE" w:sz="1"/>
              <w:right w:val="single" w:color="BDD6EE" w:sz="1"/>
            </w:tcBorders>
            <w:shd w:fill="FFFFFF" w:val="clear"/>
            <w:tcMar>
              <w:top w:type="dxa" w:w="90"/>
              <w:left w:type="dxa" w:w="150"/>
              <w:bottom w:type="dxa" w:w="90"/>
              <w:right w:type="dxa" w:w="150"/>
            </w:tcMar>
          </w:tcPr>
          <w:p>
            <w:pPr>
              <w:jc w:val="left"/>
            </w:pPr>
            <w:r>
              <w:rPr>
                <w:rFonts w:ascii="Arial" w:cs="Arial" w:eastAsia="Arial" w:hAnsi="Arial"/>
                <w:b w:val="false"/>
                <w:bCs w:val="false"/>
                <w:color w:val="1A1A1A"/>
                <w:sz w:val="18"/>
                <w:szCs w:val="18"/>
              </w:rPr>
              <w:t xml:space="preserve">MEDIUM — Siemens/CloudNC occupying this space</w:t>
            </w:r>
          </w:p>
        </w:tc>
      </w:tr>
    </w:tbl>
    <w:p>
      <w:r>
        <w:rPr>
          <w:sz w:val="18"/>
          <w:szCs w:val="18"/>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DD6EE" w:sz="1"/>
              <w:left w:val="single" w:color="BDD6EE" w:sz="1"/>
              <w:bottom w:val="single" w:color="BDD6EE" w:sz="1"/>
              <w:right w:val="single" w:color="BDD6EE" w:sz="1"/>
            </w:tcBorders>
            <w:shd w:fill="FFFBE6" w:val="clear"/>
            <w:tcMar>
              <w:top w:type="dxa" w:w="130"/>
              <w:left w:type="dxa" w:w="220"/>
              <w:bottom w:type="dxa" w:w="130"/>
              <w:right w:type="dxa" w:w="220"/>
            </w:tcMar>
          </w:tcPr>
          <w:p>
            <w:pPr>
              <w:spacing w:after="60"/>
            </w:pPr>
            <w:r>
              <w:rPr>
                <w:rFonts w:ascii="Arial" w:cs="Arial" w:eastAsia="Arial" w:hAnsi="Arial"/>
                <w:b/>
                <w:bCs/>
                <w:color w:val="B8860B"/>
                <w:sz w:val="22"/>
                <w:szCs w:val="22"/>
              </w:rPr>
              <w:t xml:space="preserve">★  The AI Gap in PowerMill is Confirmed and Open</w:t>
            </w:r>
          </w:p>
          <w:p>
            <w:r>
              <w:rPr>
                <w:rFonts w:ascii="Arial" w:cs="Arial" w:eastAsia="Arial" w:hAnsi="Arial"/>
                <w:color w:val="B8860B"/>
                <w:sz w:val="19"/>
                <w:szCs w:val="19"/>
              </w:rPr>
              <w:t xml:space="preserve">A community member asked Autodesk leadership directly in August 2025: 'Do you plan to apply AI in PowerMill?' The answer was explicit: 'They currently have no plans to apply AI in PowerMill. Everything you can do for automation at the moment relies on macros and plugins.' This is not a weakness to avoid — it is a market opportunity. PowerMill users are among the most demanding and highest-value CNC programmers in the world, and their platform has zero AI automation. We are building exactly that.</w:t>
            </w:r>
          </w:p>
        </w:tc>
      </w:tr>
    </w:tbl>
    <w:p>
      <w:r>
        <w:rPr>
          <w:sz w:val="18"/>
          <w:szCs w:val="18"/>
        </w:rPr>
        <w:t xml:space="preserve"/>
      </w:r>
    </w:p>
    <w:p>
      <w:pPr>
        <w:pStyle w:val="Heading1"/>
        <w:pBdr>
          <w:bottom w:val="single" w:color="2E75B6" w:sz="8" w:space="8"/>
        </w:pBdr>
        <w:spacing w:before="400" w:after="100"/>
      </w:pPr>
      <w:r>
        <w:rPr>
          <w:rFonts w:ascii="Arial" w:cs="Arial" w:eastAsia="Arial" w:hAnsi="Arial"/>
          <w:b/>
          <w:bCs/>
          <w:color w:val="0D2137"/>
          <w:sz w:val="34"/>
          <w:szCs w:val="34"/>
        </w:rPr>
        <w:t xml:space="preserve">3. PowerMill Integration — Technical Architecture</w:t>
      </w:r>
    </w:p>
    <w:p>
      <w:pPr>
        <w:spacing w:before="60" w:after="60"/>
      </w:pPr>
      <w:r>
        <w:rPr>
          <w:rFonts w:ascii="Arial" w:cs="Arial" w:eastAsia="Arial" w:hAnsi="Arial"/>
          <w:sz w:val="20"/>
          <w:szCs w:val="20"/>
        </w:rPr>
        <w:t xml:space="preserve">PowerMill exposes three distinct integration layers. Understanding all three is critical because, unlike Fusion's clean Python API, PowerMill's automation requires combining these layers strategically. The good news: all three are well-documented, production-tested, and actively used by third-party plug-in developers.</w:t>
      </w:r>
    </w:p>
    <w:p>
      <w:r>
        <w:rPr>
          <w:sz w:val="18"/>
          <w:szCs w:val="18"/>
        </w:rPr>
        <w:t xml:space="preserve"/>
      </w:r>
    </w:p>
    <w:p>
      <w:pPr>
        <w:pStyle w:val="Heading2"/>
        <w:spacing w:before="260" w:after="80"/>
      </w:pPr>
      <w:r>
        <w:rPr>
          <w:rFonts w:ascii="Arial" w:cs="Arial" w:eastAsia="Arial" w:hAnsi="Arial"/>
          <w:b/>
          <w:bCs/>
          <w:color w:val="2E75B6"/>
          <w:sz w:val="26"/>
          <w:szCs w:val="26"/>
        </w:rPr>
        <w:t xml:space="preserve">3.1 Layer 1 — The Macro Language (.mac files)</w:t>
      </w:r>
    </w:p>
    <w:p>
      <w:pPr>
        <w:spacing w:before="60" w:after="60"/>
      </w:pPr>
      <w:r>
        <w:rPr>
          <w:rFonts w:ascii="Arial" w:cs="Arial" w:eastAsia="Arial" w:hAnsi="Arial"/>
          <w:sz w:val="20"/>
          <w:szCs w:val="20"/>
        </w:rPr>
        <w:t xml:space="preserve">PowerMill has a built-in scripting language for automation. Macros are .mac text files that execute PowerMill commands sequentially. They can create tools, set cutting parameters, create boundaries, generate toolpaths, and control virtually any aspect of the CAM session. Macros are the foundation layer — think of them as PowerMill's command line.</w:t>
      </w:r>
    </w:p>
    <w:p>
      <w:r>
        <w:rPr>
          <w:sz w:val="18"/>
          <w:szCs w:val="18"/>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DD6EE" w:sz="1"/>
              <w:left w:val="single" w:color="BDD6EE" w:sz="1"/>
              <w:bottom w:val="single" w:color="BDD6EE" w:sz="1"/>
              <w:right w:val="single" w:color="BDD6EE" w:sz="1"/>
            </w:tcBorders>
            <w:shd w:fill="1E1E1E" w:val="clear"/>
            <w:tcMar>
              <w:top w:type="dxa" w:w="140"/>
              <w:left w:type="dxa" w:w="220"/>
              <w:bottom w:type="dxa" w:w="140"/>
              <w:right w:type="dxa" w:w="220"/>
            </w:tcMar>
          </w:tcPr>
          <w:p>
            <w:pPr>
              <w:spacing w:before="20" w:after="20"/>
            </w:pPr>
            <w:r>
              <w:rPr>
                <w:rFonts w:ascii="Courier New" w:cs="Courier New" w:eastAsia="Courier New" w:hAnsi="Courier New"/>
                <w:color w:val="D4D4D4"/>
                <w:sz w:val="17"/>
                <w:szCs w:val="17"/>
              </w:rPr>
              <w:t xml:space="preserve">// Example PowerMill macro — create a tool and set parameters</w:t>
            </w:r>
          </w:p>
          <w:p>
            <w:pPr>
              <w:spacing w:before="20" w:after="20"/>
            </w:pPr>
            <w:r>
              <w:rPr>
                <w:rFonts w:ascii="Courier New" w:cs="Courier New" w:eastAsia="Courier New" w:hAnsi="Courier New"/>
                <w:color w:val="D4D4D4"/>
                <w:sz w:val="17"/>
                <w:szCs w:val="17"/>
              </w:rPr>
              <w:t xml:space="preserve">TOOL CREATE ; TYPE 'endmill' DIAMETER 10.0 </w:t>
            </w:r>
          </w:p>
          <w:p>
            <w:pPr>
              <w:spacing w:before="20" w:after="20"/>
            </w:pPr>
            <w:r>
              <w:rPr>
                <w:rFonts w:ascii="Courier New" w:cs="Courier New" w:eastAsia="Courier New" w:hAnsi="Courier New"/>
                <w:color w:val="D4D4D4"/>
                <w:sz w:val="17"/>
                <w:szCs w:val="17"/>
              </w:rPr>
              <w:t xml:space="preserve">EDIT TOOL ; OVERHANG 50.0</w:t>
            </w:r>
          </w:p>
          <w:p>
            <w:pPr>
              <w:spacing w:before="20" w:after="20"/>
            </w:pPr>
            <w:r>
              <w:rPr>
                <w:rFonts w:ascii="Courier New" w:cs="Courier New" w:eastAsia="Courier New" w:hAnsi="Courier New"/>
                <w:color w:val="D4D4D4"/>
                <w:sz w:val="17"/>
                <w:szCs w:val="17"/>
              </w:rPr>
              <w:t xml:space="preserve">TOOLPATH CREATE ; TYPE 'raster_finish'</w:t>
            </w:r>
          </w:p>
          <w:p>
            <w:pPr>
              <w:spacing w:before="20" w:after="20"/>
            </w:pPr>
            <w:r>
              <w:rPr>
                <w:rFonts w:ascii="Courier New" w:cs="Courier New" w:eastAsia="Courier New" w:hAnsi="Courier New"/>
                <w:color w:val="D4D4D4"/>
                <w:sz w:val="17"/>
                <w:szCs w:val="17"/>
              </w:rPr>
              <w:t xml:space="preserve">EDIT TOOLPATH ; TOLERANCE 0.01</w:t>
            </w:r>
          </w:p>
          <w:p>
            <w:pPr>
              <w:spacing w:before="20" w:after="20"/>
            </w:pPr>
            <w:r>
              <w:rPr>
                <w:rFonts w:ascii="Courier New" w:cs="Courier New" w:eastAsia="Courier New" w:hAnsi="Courier New"/>
                <w:color w:val="D4D4D4"/>
                <w:sz w:val="17"/>
                <w:szCs w:val="17"/>
              </w:rPr>
              <w:t xml:space="preserve">EDIT TOOLPATH ; STEPOVER 0.5</w:t>
            </w:r>
          </w:p>
          <w:p>
            <w:pPr>
              <w:spacing w:before="20" w:after="20"/>
            </w:pPr>
            <w:r>
              <w:rPr>
                <w:rFonts w:ascii="Courier New" w:cs="Courier New" w:eastAsia="Courier New" w:hAnsi="Courier New"/>
                <w:color w:val="D4D4D4"/>
                <w:sz w:val="17"/>
                <w:szCs w:val="17"/>
              </w:rPr>
              <w:t xml:space="preserve">EDIT TOOLPATH ; CALCULATE</w:t>
            </w:r>
          </w:p>
        </w:tc>
      </w:tr>
    </w:tbl>
    <w:p>
      <w:r>
        <w:rPr>
          <w:sz w:val="18"/>
          <w:szCs w:val="18"/>
        </w:rPr>
        <w:t xml:space="preserve"/>
      </w:r>
    </w:p>
    <w:p>
      <w:pPr>
        <w:spacing w:before="60" w:after="60"/>
      </w:pPr>
      <w:r>
        <w:rPr>
          <w:rFonts w:ascii="Arial" w:cs="Arial" w:eastAsia="Arial" w:hAnsi="Arial"/>
          <w:sz w:val="20"/>
          <w:szCs w:val="20"/>
        </w:rPr>
        <w:t xml:space="preserve">Our use of macros: the cloud AI engine generates .mac script strings that encode the full machining strategy (tool definitions, boundaries, toolpath settings, calculation commands). These scripts are then executed inside the active PowerMill session via the C# API, injecting the AI-generated strategy as native, editable PowerMill objects.</w:t>
      </w:r>
    </w:p>
    <w:p>
      <w:r>
        <w:rPr>
          <w:sz w:val="18"/>
          <w:szCs w:val="18"/>
        </w:rPr>
        <w:t xml:space="preserve"/>
      </w:r>
    </w:p>
    <w:p>
      <w:pPr>
        <w:pStyle w:val="Heading2"/>
        <w:spacing w:before="260" w:after="80"/>
      </w:pPr>
      <w:r>
        <w:rPr>
          <w:rFonts w:ascii="Arial" w:cs="Arial" w:eastAsia="Arial" w:hAnsi="Arial"/>
          <w:b/>
          <w:bCs/>
          <w:color w:val="2E75B6"/>
          <w:sz w:val="26"/>
          <w:szCs w:val="26"/>
        </w:rPr>
        <w:t xml:space="preserve">3.2 Layer 2 — The C# / .NET API (Primary Plug-In Interface)</w:t>
      </w:r>
    </w:p>
    <w:p>
      <w:pPr>
        <w:spacing w:before="60" w:after="60"/>
      </w:pPr>
      <w:r>
        <w:rPr>
          <w:rFonts w:ascii="Arial" w:cs="Arial" w:eastAsia="Arial" w:hAnsi="Arial"/>
          <w:sz w:val="20"/>
          <w:szCs w:val="20"/>
        </w:rPr>
        <w:t xml:space="preserve">The PowerShapeAndPowerMillAPI is an open-source Autodesk-maintained C# library (MIT license, hosted on GitHub) that wraps PowerMill's COM automation interface into a clean .NET object model. This is the primary API for plug-in development and external application integration.</w:t>
      </w:r>
    </w:p>
    <w:p>
      <w:r>
        <w:rPr>
          <w:sz w:val="18"/>
          <w:szCs w:val="18"/>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BDD6EE" w:sz="1"/>
              <w:left w:val="single" w:color="BDD6EE" w:sz="1"/>
              <w:bottom w:val="single" w:color="BDD6EE" w:sz="1"/>
              <w:right w:val="single" w:color="BDD6EE" w:sz="1"/>
            </w:tcBorders>
            <w:shd w:fill="F0F7FD" w:val="clear"/>
            <w:tcMar>
              <w:top w:type="dxa" w:w="90"/>
              <w:left w:type="dxa" w:w="150"/>
              <w:bottom w:type="dxa" w:w="90"/>
              <w:right w:type="dxa" w:w="150"/>
            </w:tcMar>
          </w:tcPr>
          <w:p>
            <w:pPr>
              <w:jc w:val="left"/>
            </w:pPr>
            <w:r>
              <w:rPr>
                <w:rFonts w:ascii="Arial" w:cs="Arial" w:eastAsia="Arial" w:hAnsi="Arial"/>
                <w:b/>
                <w:bCs/>
                <w:color w:val="1F4E79"/>
                <w:sz w:val="18"/>
                <w:szCs w:val="18"/>
              </w:rPr>
              <w:t xml:space="preserve">Library</w:t>
            </w:r>
          </w:p>
        </w:tc>
        <w:tc>
          <w:tcPr>
            <w:tcW w:type="dxa" w:w="6760"/>
            <w:tcBorders>
              <w:top w:val="single" w:color="BDD6EE" w:sz="1"/>
              <w:left w:val="single" w:color="BDD6EE" w:sz="1"/>
              <w:bottom w:val="single" w:color="BDD6EE" w:sz="1"/>
              <w:right w:val="single" w:color="BDD6EE" w:sz="1"/>
            </w:tcBorders>
            <w:shd w:fill="F0F7FD" w:val="clear"/>
            <w:tcMar>
              <w:top w:type="dxa" w:w="90"/>
              <w:left w:type="dxa" w:w="150"/>
              <w:bottom w:type="dxa" w:w="90"/>
              <w:right w:type="dxa" w:w="150"/>
            </w:tcMar>
          </w:tcPr>
          <w:p>
            <w:pPr>
              <w:jc w:val="left"/>
            </w:pPr>
            <w:r>
              <w:rPr>
                <w:rFonts w:ascii="Arial" w:cs="Arial" w:eastAsia="Arial" w:hAnsi="Arial"/>
                <w:b w:val="false"/>
                <w:bCs w:val="false"/>
                <w:color w:val="1A1A1A"/>
                <w:sz w:val="18"/>
                <w:szCs w:val="18"/>
              </w:rPr>
              <w:t xml:space="preserve">Autodesk.PowerMill.API (NuGet package) — MIT license, actively maintained open-source</w:t>
            </w:r>
          </w:p>
        </w:tc>
      </w:tr>
      <w:tr>
        <w:tc>
          <w:tcPr>
            <w:tcW w:type="dxa" w:w="2600"/>
            <w:tcBorders>
              <w:top w:val="single" w:color="BDD6EE" w:sz="1"/>
              <w:left w:val="single" w:color="BDD6EE" w:sz="1"/>
              <w:bottom w:val="single" w:color="BDD6EE" w:sz="1"/>
              <w:right w:val="single" w:color="BDD6EE" w:sz="1"/>
            </w:tcBorders>
            <w:shd w:fill="FFFFFF" w:val="clear"/>
            <w:tcMar>
              <w:top w:type="dxa" w:w="90"/>
              <w:left w:type="dxa" w:w="150"/>
              <w:bottom w:type="dxa" w:w="90"/>
              <w:right w:type="dxa" w:w="150"/>
            </w:tcMar>
          </w:tcPr>
          <w:p>
            <w:pPr>
              <w:jc w:val="left"/>
            </w:pPr>
            <w:r>
              <w:rPr>
                <w:rFonts w:ascii="Arial" w:cs="Arial" w:eastAsia="Arial" w:hAnsi="Arial"/>
                <w:b/>
                <w:bCs/>
                <w:color w:val="1F4E79"/>
                <w:sz w:val="18"/>
                <w:szCs w:val="18"/>
              </w:rPr>
              <w:t xml:space="preserve">Language</w:t>
            </w:r>
          </w:p>
        </w:tc>
        <w:tc>
          <w:tcPr>
            <w:tcW w:type="dxa" w:w="6760"/>
            <w:tcBorders>
              <w:top w:val="single" w:color="BDD6EE" w:sz="1"/>
              <w:left w:val="single" w:color="BDD6EE" w:sz="1"/>
              <w:bottom w:val="single" w:color="BDD6EE" w:sz="1"/>
              <w:right w:val="single" w:color="BDD6EE" w:sz="1"/>
            </w:tcBorders>
            <w:shd w:fill="FFFFFF" w:val="clear"/>
            <w:tcMar>
              <w:top w:type="dxa" w:w="90"/>
              <w:left w:type="dxa" w:w="150"/>
              <w:bottom w:type="dxa" w:w="90"/>
              <w:right w:type="dxa" w:w="150"/>
            </w:tcMar>
          </w:tcPr>
          <w:p>
            <w:pPr>
              <w:jc w:val="left"/>
            </w:pPr>
            <w:r>
              <w:rPr>
                <w:rFonts w:ascii="Arial" w:cs="Arial" w:eastAsia="Arial" w:hAnsi="Arial"/>
                <w:b w:val="false"/>
                <w:bCs w:val="false"/>
                <w:color w:val="1A1A1A"/>
                <w:sz w:val="18"/>
                <w:szCs w:val="18"/>
              </w:rPr>
              <w:t xml:space="preserve">C# (primary); VB.NET supported. Visual Studio 2015+ with .NET Framework 4.8.</w:t>
            </w:r>
          </w:p>
        </w:tc>
      </w:tr>
      <w:tr>
        <w:tc>
          <w:tcPr>
            <w:tcW w:type="dxa" w:w="2600"/>
            <w:tcBorders>
              <w:top w:val="single" w:color="BDD6EE" w:sz="1"/>
              <w:left w:val="single" w:color="BDD6EE" w:sz="1"/>
              <w:bottom w:val="single" w:color="BDD6EE" w:sz="1"/>
              <w:right w:val="single" w:color="BDD6EE" w:sz="1"/>
            </w:tcBorders>
            <w:shd w:fill="F0F7FD" w:val="clear"/>
            <w:tcMar>
              <w:top w:type="dxa" w:w="90"/>
              <w:left w:type="dxa" w:w="150"/>
              <w:bottom w:type="dxa" w:w="90"/>
              <w:right w:type="dxa" w:w="150"/>
            </w:tcMar>
          </w:tcPr>
          <w:p>
            <w:pPr>
              <w:jc w:val="left"/>
            </w:pPr>
            <w:r>
              <w:rPr>
                <w:rFonts w:ascii="Arial" w:cs="Arial" w:eastAsia="Arial" w:hAnsi="Arial"/>
                <w:b/>
                <w:bCs/>
                <w:color w:val="1F4E79"/>
                <w:sz w:val="18"/>
                <w:szCs w:val="18"/>
              </w:rPr>
              <w:t xml:space="preserve">Connection Model</w:t>
            </w:r>
          </w:p>
        </w:tc>
        <w:tc>
          <w:tcPr>
            <w:tcW w:type="dxa" w:w="6760"/>
            <w:tcBorders>
              <w:top w:val="single" w:color="BDD6EE" w:sz="1"/>
              <w:left w:val="single" w:color="BDD6EE" w:sz="1"/>
              <w:bottom w:val="single" w:color="BDD6EE" w:sz="1"/>
              <w:right w:val="single" w:color="BDD6EE" w:sz="1"/>
            </w:tcBorders>
            <w:shd w:fill="F0F7FD" w:val="clear"/>
            <w:tcMar>
              <w:top w:type="dxa" w:w="90"/>
              <w:left w:type="dxa" w:w="150"/>
              <w:bottom w:type="dxa" w:w="90"/>
              <w:right w:type="dxa" w:w="150"/>
            </w:tcMar>
          </w:tcPr>
          <w:p>
            <w:pPr>
              <w:jc w:val="left"/>
            </w:pPr>
            <w:r>
              <w:rPr>
                <w:rFonts w:ascii="Arial" w:cs="Arial" w:eastAsia="Arial" w:hAnsi="Arial"/>
                <w:b w:val="false"/>
                <w:bCs w:val="false"/>
                <w:color w:val="1A1A1A"/>
                <w:sz w:val="18"/>
                <w:szCs w:val="18"/>
              </w:rPr>
              <w:t xml:space="preserve">COM automation — the C# application connects to a running PowerMill process via COM interop. PowerMill.dll is generated from the PowerMill executable using tlbimp.exe.</w:t>
            </w:r>
          </w:p>
        </w:tc>
      </w:tr>
      <w:tr>
        <w:tc>
          <w:tcPr>
            <w:tcW w:type="dxa" w:w="2600"/>
            <w:tcBorders>
              <w:top w:val="single" w:color="BDD6EE" w:sz="1"/>
              <w:left w:val="single" w:color="BDD6EE" w:sz="1"/>
              <w:bottom w:val="single" w:color="BDD6EE" w:sz="1"/>
              <w:right w:val="single" w:color="BDD6EE" w:sz="1"/>
            </w:tcBorders>
            <w:shd w:fill="FFFFFF" w:val="clear"/>
            <w:tcMar>
              <w:top w:type="dxa" w:w="90"/>
              <w:left w:type="dxa" w:w="150"/>
              <w:bottom w:type="dxa" w:w="90"/>
              <w:right w:type="dxa" w:w="150"/>
            </w:tcMar>
          </w:tcPr>
          <w:p>
            <w:pPr>
              <w:jc w:val="left"/>
            </w:pPr>
            <w:r>
              <w:rPr>
                <w:rFonts w:ascii="Arial" w:cs="Arial" w:eastAsia="Arial" w:hAnsi="Arial"/>
                <w:b/>
                <w:bCs/>
                <w:color w:val="1F4E79"/>
                <w:sz w:val="18"/>
                <w:szCs w:val="18"/>
              </w:rPr>
              <w:t xml:space="preserve">Key Capabilities</w:t>
            </w:r>
          </w:p>
        </w:tc>
        <w:tc>
          <w:tcPr>
            <w:tcW w:type="dxa" w:w="6760"/>
            <w:tcBorders>
              <w:top w:val="single" w:color="BDD6EE" w:sz="1"/>
              <w:left w:val="single" w:color="BDD6EE" w:sz="1"/>
              <w:bottom w:val="single" w:color="BDD6EE" w:sz="1"/>
              <w:right w:val="single" w:color="BDD6EE" w:sz="1"/>
            </w:tcBorders>
            <w:shd w:fill="FFFFFF" w:val="clear"/>
            <w:tcMar>
              <w:top w:type="dxa" w:w="90"/>
              <w:left w:type="dxa" w:w="150"/>
              <w:bottom w:type="dxa" w:w="90"/>
              <w:right w:type="dxa" w:w="150"/>
            </w:tcMar>
          </w:tcPr>
          <w:p>
            <w:pPr>
              <w:jc w:val="left"/>
            </w:pPr>
            <w:r>
              <w:rPr>
                <w:rFonts w:ascii="Arial" w:cs="Arial" w:eastAsia="Arial" w:hAnsi="Arial"/>
                <w:b w:val="false"/>
                <w:bCs w:val="false"/>
                <w:color w:val="1A1A1A"/>
                <w:sz w:val="18"/>
                <w:szCs w:val="18"/>
              </w:rPr>
              <w:t xml:space="preserve">Create/modify toolpaths, tools, boundaries, workplanes. Execute macros. Read model geometry and existing entities. Import/export project files. Control toolpath calculation.</w:t>
            </w:r>
          </w:p>
        </w:tc>
      </w:tr>
      <w:tr>
        <w:tc>
          <w:tcPr>
            <w:tcW w:type="dxa" w:w="2600"/>
            <w:tcBorders>
              <w:top w:val="single" w:color="BDD6EE" w:sz="1"/>
              <w:left w:val="single" w:color="BDD6EE" w:sz="1"/>
              <w:bottom w:val="single" w:color="BDD6EE" w:sz="1"/>
              <w:right w:val="single" w:color="BDD6EE" w:sz="1"/>
            </w:tcBorders>
            <w:shd w:fill="F0F7FD" w:val="clear"/>
            <w:tcMar>
              <w:top w:type="dxa" w:w="90"/>
              <w:left w:type="dxa" w:w="150"/>
              <w:bottom w:type="dxa" w:w="90"/>
              <w:right w:type="dxa" w:w="150"/>
            </w:tcMar>
          </w:tcPr>
          <w:p>
            <w:pPr>
              <w:jc w:val="left"/>
            </w:pPr>
            <w:r>
              <w:rPr>
                <w:rFonts w:ascii="Arial" w:cs="Arial" w:eastAsia="Arial" w:hAnsi="Arial"/>
                <w:b/>
                <w:bCs/>
                <w:color w:val="1F4E79"/>
                <w:sz w:val="18"/>
                <w:szCs w:val="18"/>
              </w:rPr>
              <w:t xml:space="preserve">Example Operations</w:t>
            </w:r>
          </w:p>
        </w:tc>
        <w:tc>
          <w:tcPr>
            <w:tcW w:type="dxa" w:w="6760"/>
            <w:tcBorders>
              <w:top w:val="single" w:color="BDD6EE" w:sz="1"/>
              <w:left w:val="single" w:color="BDD6EE" w:sz="1"/>
              <w:bottom w:val="single" w:color="BDD6EE" w:sz="1"/>
              <w:right w:val="single" w:color="BDD6EE" w:sz="1"/>
            </w:tcBorders>
            <w:shd w:fill="F0F7FD" w:val="clear"/>
            <w:tcMar>
              <w:top w:type="dxa" w:w="90"/>
              <w:left w:type="dxa" w:w="150"/>
              <w:bottom w:type="dxa" w:w="90"/>
              <w:right w:type="dxa" w:w="150"/>
            </w:tcMar>
          </w:tcPr>
          <w:p>
            <w:pPr>
              <w:jc w:val="left"/>
            </w:pPr>
            <w:r>
              <w:rPr>
                <w:rFonts w:ascii="Arial" w:cs="Arial" w:eastAsia="Arial" w:hAnsi="Arial"/>
                <w:b w:val="false"/>
                <w:bCs w:val="false"/>
                <w:color w:val="1A1A1A"/>
                <w:sz w:val="18"/>
                <w:szCs w:val="18"/>
              </w:rPr>
              <w:t xml:space="preserve">IMPORT TEMPLATE ENTITY TOOLPATH — import toolpath template; EDIT TOOLPATH ; CALCULATE — trigger calculation; CREATE FOLDER — organize toolpaths</w:t>
            </w:r>
          </w:p>
        </w:tc>
      </w:tr>
      <w:tr>
        <w:tc>
          <w:tcPr>
            <w:tcW w:type="dxa" w:w="2600"/>
            <w:tcBorders>
              <w:top w:val="single" w:color="BDD6EE" w:sz="1"/>
              <w:left w:val="single" w:color="BDD6EE" w:sz="1"/>
              <w:bottom w:val="single" w:color="BDD6EE" w:sz="1"/>
              <w:right w:val="single" w:color="BDD6EE" w:sz="1"/>
            </w:tcBorders>
            <w:shd w:fill="FFFFFF" w:val="clear"/>
            <w:tcMar>
              <w:top w:type="dxa" w:w="90"/>
              <w:left w:type="dxa" w:w="150"/>
              <w:bottom w:type="dxa" w:w="90"/>
              <w:right w:type="dxa" w:w="150"/>
            </w:tcMar>
          </w:tcPr>
          <w:p>
            <w:pPr>
              <w:jc w:val="left"/>
            </w:pPr>
            <w:r>
              <w:rPr>
                <w:rFonts w:ascii="Arial" w:cs="Arial" w:eastAsia="Arial" w:hAnsi="Arial"/>
                <w:b/>
                <w:bCs/>
                <w:color w:val="1F4E79"/>
                <w:sz w:val="18"/>
                <w:szCs w:val="18"/>
              </w:rPr>
              <w:t xml:space="preserve">Existing Plug-In Example</w:t>
            </w:r>
          </w:p>
        </w:tc>
        <w:tc>
          <w:tcPr>
            <w:tcW w:type="dxa" w:w="6760"/>
            <w:tcBorders>
              <w:top w:val="single" w:color="BDD6EE" w:sz="1"/>
              <w:left w:val="single" w:color="BDD6EE" w:sz="1"/>
              <w:bottom w:val="single" w:color="BDD6EE" w:sz="1"/>
              <w:right w:val="single" w:color="BDD6EE" w:sz="1"/>
            </w:tcBorders>
            <w:shd w:fill="FFFFFF" w:val="clear"/>
            <w:tcMar>
              <w:top w:type="dxa" w:w="90"/>
              <w:left w:type="dxa" w:w="150"/>
              <w:bottom w:type="dxa" w:w="90"/>
              <w:right w:type="dxa" w:w="150"/>
            </w:tcMar>
          </w:tcPr>
          <w:p>
            <w:pPr>
              <w:jc w:val="left"/>
            </w:pPr>
            <w:r>
              <w:rPr>
                <w:rFonts w:ascii="Arial" w:cs="Arial" w:eastAsia="Arial" w:hAnsi="Arial"/>
                <w:b w:val="false"/>
                <w:bCs w:val="false"/>
                <w:color w:val="1A1A1A"/>
                <w:sz w:val="18"/>
                <w:szCs w:val="18"/>
              </w:rPr>
              <w:t xml:space="preserve">Autodesk's own addin-drilling-automation example: reads hole geometry, looks up toolpath templates in a database, and automatically assigns and calculates correct drilling toolpaths. This is a direct proof of concept for our approach.</w:t>
            </w:r>
          </w:p>
        </w:tc>
      </w:tr>
      <w:tr>
        <w:tc>
          <w:tcPr>
            <w:tcW w:type="dxa" w:w="2600"/>
            <w:tcBorders>
              <w:top w:val="single" w:color="BDD6EE" w:sz="1"/>
              <w:left w:val="single" w:color="BDD6EE" w:sz="1"/>
              <w:bottom w:val="single" w:color="BDD6EE" w:sz="1"/>
              <w:right w:val="single" w:color="BDD6EE" w:sz="1"/>
            </w:tcBorders>
            <w:shd w:fill="F0F7FD" w:val="clear"/>
            <w:tcMar>
              <w:top w:type="dxa" w:w="90"/>
              <w:left w:type="dxa" w:w="150"/>
              <w:bottom w:type="dxa" w:w="90"/>
              <w:right w:type="dxa" w:w="150"/>
            </w:tcMar>
          </w:tcPr>
          <w:p>
            <w:pPr>
              <w:jc w:val="left"/>
            </w:pPr>
            <w:r>
              <w:rPr>
                <w:rFonts w:ascii="Arial" w:cs="Arial" w:eastAsia="Arial" w:hAnsi="Arial"/>
                <w:b/>
                <w:bCs/>
                <w:color w:val="1F4E79"/>
                <w:sz w:val="18"/>
                <w:szCs w:val="18"/>
              </w:rPr>
              <w:t xml:space="preserve">Plugin Registration</w:t>
            </w:r>
          </w:p>
        </w:tc>
        <w:tc>
          <w:tcPr>
            <w:tcW w:type="dxa" w:w="6760"/>
            <w:tcBorders>
              <w:top w:val="single" w:color="BDD6EE" w:sz="1"/>
              <w:left w:val="single" w:color="BDD6EE" w:sz="1"/>
              <w:bottom w:val="single" w:color="BDD6EE" w:sz="1"/>
              <w:right w:val="single" w:color="BDD6EE" w:sz="1"/>
            </w:tcBorders>
            <w:shd w:fill="F0F7FD" w:val="clear"/>
            <w:tcMar>
              <w:top w:type="dxa" w:w="90"/>
              <w:left w:type="dxa" w:w="150"/>
              <w:bottom w:type="dxa" w:w="90"/>
              <w:right w:type="dxa" w:w="150"/>
            </w:tcMar>
          </w:tcPr>
          <w:p>
            <w:pPr>
              <w:jc w:val="left"/>
            </w:pPr>
            <w:r>
              <w:rPr>
                <w:rFonts w:ascii="Arial" w:cs="Arial" w:eastAsia="Arial" w:hAnsi="Arial"/>
                <w:b w:val="false"/>
                <w:bCs w:val="false"/>
                <w:color w:val="1A1A1A"/>
                <w:sz w:val="18"/>
                <w:szCs w:val="18"/>
              </w:rPr>
              <w:t xml:space="preserve">COM registration via regasm.exe; loaded from PowerMill's Plugin Manager (File &gt; Options &gt; Manage Installed Plugins)</w:t>
            </w:r>
          </w:p>
        </w:tc>
      </w:tr>
    </w:tbl>
    <w:p>
      <w:r>
        <w:rPr>
          <w:sz w:val="18"/>
          <w:szCs w:val="18"/>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DD6EE" w:sz="1"/>
              <w:left w:val="single" w:color="BDD6EE" w:sz="1"/>
              <w:bottom w:val="single" w:color="BDD6EE" w:sz="1"/>
              <w:right w:val="single" w:color="BDD6EE" w:sz="1"/>
            </w:tcBorders>
            <w:shd w:fill="1E1E1E" w:val="clear"/>
            <w:tcMar>
              <w:top w:type="dxa" w:w="140"/>
              <w:left w:type="dxa" w:w="220"/>
              <w:bottom w:type="dxa" w:w="140"/>
              <w:right w:type="dxa" w:w="220"/>
            </w:tcMar>
          </w:tcPr>
          <w:p>
            <w:pPr>
              <w:spacing w:before="20" w:after="20"/>
            </w:pPr>
            <w:r>
              <w:rPr>
                <w:rFonts w:ascii="Courier New" w:cs="Courier New" w:eastAsia="Courier New" w:hAnsi="Courier New"/>
                <w:color w:val="D4D4D4"/>
                <w:sz w:val="17"/>
                <w:szCs w:val="17"/>
              </w:rPr>
              <w:t xml:space="preserve">// C# example — connect to running PowerMill and inject a toolpath</w:t>
            </w:r>
          </w:p>
          <w:p>
            <w:pPr>
              <w:spacing w:before="20" w:after="20"/>
            </w:pPr>
            <w:r>
              <w:rPr>
                <w:rFonts w:ascii="Courier New" w:cs="Courier New" w:eastAsia="Courier New" w:hAnsi="Courier New"/>
                <w:color w:val="D4D4D4"/>
                <w:sz w:val="17"/>
                <w:szCs w:val="17"/>
              </w:rPr>
              <w:t xml:space="preserve">using Autodesk.PowerMill.API;</w:t>
            </w:r>
          </w:p>
          <w:p>
            <w:pPr>
              <w:spacing w:before="20" w:after="20"/>
            </w:pPr>
            <w:r>
              <w:rPr>
                <w:rFonts w:ascii="Courier New" w:cs="Courier New" w:eastAsia="Courier New" w:hAnsi="Courier New"/>
                <w:color w:val="D4D4D4"/>
                <w:sz w:val="17"/>
                <w:szCs w:val="17"/>
              </w:rPr>
              <w:t xml:space="preserve"/>
            </w:r>
          </w:p>
          <w:p>
            <w:pPr>
              <w:spacing w:before="20" w:after="20"/>
            </w:pPr>
            <w:r>
              <w:rPr>
                <w:rFonts w:ascii="Courier New" w:cs="Courier New" w:eastAsia="Courier New" w:hAnsi="Courier New"/>
                <w:color w:val="D4D4D4"/>
                <w:sz w:val="17"/>
                <w:szCs w:val="17"/>
              </w:rPr>
              <w:t xml:space="preserve">var powermill = new PowerMILLAutomation();</w:t>
            </w:r>
          </w:p>
          <w:p>
            <w:pPr>
              <w:spacing w:before="20" w:after="20"/>
            </w:pPr>
            <w:r>
              <w:rPr>
                <w:rFonts w:ascii="Courier New" w:cs="Courier New" w:eastAsia="Courier New" w:hAnsi="Courier New"/>
                <w:color w:val="D4D4D4"/>
                <w:sz w:val="17"/>
                <w:szCs w:val="17"/>
              </w:rPr>
              <w:t xml:space="preserve">powermill.Connect(); // attaches to running PowerMill session</w:t>
            </w:r>
          </w:p>
          <w:p>
            <w:pPr>
              <w:spacing w:before="20" w:after="20"/>
            </w:pPr>
            <w:r>
              <w:rPr>
                <w:rFonts w:ascii="Courier New" w:cs="Courier New" w:eastAsia="Courier New" w:hAnsi="Courier New"/>
                <w:color w:val="D4D4D4"/>
                <w:sz w:val="17"/>
                <w:szCs w:val="17"/>
              </w:rPr>
              <w:t xml:space="preserve"/>
            </w:r>
          </w:p>
          <w:p>
            <w:pPr>
              <w:spacing w:before="20" w:after="20"/>
            </w:pPr>
            <w:r>
              <w:rPr>
                <w:rFonts w:ascii="Courier New" w:cs="Courier New" w:eastAsia="Courier New" w:hAnsi="Courier New"/>
                <w:color w:val="D4D4D4"/>
                <w:sz w:val="17"/>
                <w:szCs w:val="17"/>
              </w:rPr>
              <w:t xml:space="preserve">// Import AI-generated toolpath template from our cloud service</w:t>
            </w:r>
          </w:p>
          <w:p>
            <w:pPr>
              <w:spacing w:before="20" w:after="20"/>
            </w:pPr>
            <w:r>
              <w:rPr>
                <w:rFonts w:ascii="Courier New" w:cs="Courier New" w:eastAsia="Courier New" w:hAnsi="Courier New"/>
                <w:color w:val="D4D4D4"/>
                <w:sz w:val="17"/>
                <w:szCs w:val="17"/>
              </w:rPr>
              <w:t xml:space="preserve">powermill.ExecuteEx($"IMPORT TEMPLATE ENTITY TOOLPATH '{templatePath}'");</w:t>
            </w:r>
          </w:p>
          <w:p>
            <w:pPr>
              <w:spacing w:before="20" w:after="20"/>
            </w:pPr>
            <w:r>
              <w:rPr>
                <w:rFonts w:ascii="Courier New" w:cs="Courier New" w:eastAsia="Courier New" w:hAnsi="Courier New"/>
                <w:color w:val="D4D4D4"/>
                <w:sz w:val="17"/>
                <w:szCs w:val="17"/>
              </w:rPr>
              <w:t xml:space="preserve">powermill.ExecuteEx($"RENAME Toolpath # '{strategyName}'");</w:t>
            </w:r>
          </w:p>
          <w:p>
            <w:pPr>
              <w:spacing w:before="20" w:after="20"/>
            </w:pPr>
            <w:r>
              <w:rPr>
                <w:rFonts w:ascii="Courier New" w:cs="Courier New" w:eastAsia="Courier New" w:hAnsi="Courier New"/>
                <w:color w:val="D4D4D4"/>
                <w:sz w:val="17"/>
                <w:szCs w:val="17"/>
              </w:rPr>
              <w:t xml:space="preserve">powermill.ExecuteEx($"EDIT TOOLPATH {strategyName} ; FEEDS SPINDLESPEED {spindleRPM}");</w:t>
            </w:r>
          </w:p>
          <w:p>
            <w:pPr>
              <w:spacing w:before="20" w:after="20"/>
            </w:pPr>
            <w:r>
              <w:rPr>
                <w:rFonts w:ascii="Courier New" w:cs="Courier New" w:eastAsia="Courier New" w:hAnsi="Courier New"/>
                <w:color w:val="D4D4D4"/>
                <w:sz w:val="17"/>
                <w:szCs w:val="17"/>
              </w:rPr>
              <w:t xml:space="preserve">powermill.ExecuteEx($"EDIT TOOLPATH {strategyName} ; FEEDS CUTFEED {feedRate}");</w:t>
            </w:r>
          </w:p>
          <w:p>
            <w:pPr>
              <w:spacing w:before="20" w:after="20"/>
            </w:pPr>
            <w:r>
              <w:rPr>
                <w:rFonts w:ascii="Courier New" w:cs="Courier New" w:eastAsia="Courier New" w:hAnsi="Courier New"/>
                <w:color w:val="D4D4D4"/>
                <w:sz w:val="17"/>
                <w:szCs w:val="17"/>
              </w:rPr>
              <w:t xml:space="preserve">powermill.ExecuteEx($"EDIT TOOLPATH {strategyName} ; CALCULATE");</w:t>
            </w:r>
          </w:p>
        </w:tc>
      </w:tr>
    </w:tbl>
    <w:p>
      <w:r>
        <w:rPr>
          <w:sz w:val="18"/>
          <w:szCs w:val="18"/>
        </w:rPr>
        <w:t xml:space="preserve"/>
      </w:r>
    </w:p>
    <w:p>
      <w:pPr>
        <w:pStyle w:val="Heading2"/>
        <w:spacing w:before="260" w:after="80"/>
      </w:pPr>
      <w:r>
        <w:rPr>
          <w:rFonts w:ascii="Arial" w:cs="Arial" w:eastAsia="Arial" w:hAnsi="Arial"/>
          <w:b/>
          <w:bCs/>
          <w:color w:val="2E75B6"/>
          <w:sz w:val="26"/>
          <w:szCs w:val="26"/>
        </w:rPr>
        <w:t xml:space="preserve">3.3 Layer 3 — The PluginFramework (UI Panel)</w:t>
      </w:r>
    </w:p>
    <w:p>
      <w:pPr>
        <w:spacing w:before="60" w:after="60"/>
      </w:pPr>
      <w:r>
        <w:rPr>
          <w:rFonts w:ascii="Arial" w:cs="Arial" w:eastAsia="Arial" w:hAnsi="Arial"/>
          <w:sz w:val="20"/>
          <w:szCs w:val="20"/>
        </w:rPr>
        <w:t xml:space="preserve">PowerMill's PluginFramework allows third-party developers to embed a WPF (Windows Presentation Foundation) UI panel directly inside the PowerMill interface — either as a horizontal tab in the ribbon or as a docked vertical side panel. This is how we build the 'AI CAM Assistant' panel that users interact with.</w:t>
      </w:r>
    </w:p>
    <w:p>
      <w:r>
        <w:rPr>
          <w:sz w:val="18"/>
          <w:szCs w:val="18"/>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BDD6EE" w:sz="1"/>
              <w:left w:val="single" w:color="BDD6EE" w:sz="1"/>
              <w:bottom w:val="single" w:color="BDD6EE" w:sz="1"/>
              <w:right w:val="single" w:color="BDD6EE" w:sz="1"/>
            </w:tcBorders>
            <w:shd w:fill="F0F7FD" w:val="clear"/>
            <w:tcMar>
              <w:top w:type="dxa" w:w="90"/>
              <w:left w:type="dxa" w:w="150"/>
              <w:bottom w:type="dxa" w:w="90"/>
              <w:right w:type="dxa" w:w="150"/>
            </w:tcMar>
          </w:tcPr>
          <w:p>
            <w:pPr>
              <w:jc w:val="left"/>
            </w:pPr>
            <w:r>
              <w:rPr>
                <w:rFonts w:ascii="Arial" w:cs="Arial" w:eastAsia="Arial" w:hAnsi="Arial"/>
                <w:b/>
                <w:bCs/>
                <w:color w:val="1F4E79"/>
                <w:sz w:val="18"/>
                <w:szCs w:val="18"/>
              </w:rPr>
              <w:t xml:space="preserve">Framework File</w:t>
            </w:r>
          </w:p>
        </w:tc>
        <w:tc>
          <w:tcPr>
            <w:tcW w:type="dxa" w:w="6760"/>
            <w:tcBorders>
              <w:top w:val="single" w:color="BDD6EE" w:sz="1"/>
              <w:left w:val="single" w:color="BDD6EE" w:sz="1"/>
              <w:bottom w:val="single" w:color="BDD6EE" w:sz="1"/>
              <w:right w:val="single" w:color="BDD6EE" w:sz="1"/>
            </w:tcBorders>
            <w:shd w:fill="F0F7FD" w:val="clear"/>
            <w:tcMar>
              <w:top w:type="dxa" w:w="90"/>
              <w:left w:type="dxa" w:w="150"/>
              <w:bottom w:type="dxa" w:w="90"/>
              <w:right w:type="dxa" w:w="150"/>
            </w:tcMar>
          </w:tcPr>
          <w:p>
            <w:pPr>
              <w:jc w:val="left"/>
            </w:pPr>
            <w:r>
              <w:rPr>
                <w:rFonts w:ascii="Arial" w:cs="Arial" w:eastAsia="Arial" w:hAnsi="Arial"/>
                <w:b w:val="false"/>
                <w:bCs w:val="false"/>
                <w:color w:val="1A1A1A"/>
                <w:sz w:val="18"/>
                <w:szCs w:val="18"/>
              </w:rPr>
              <w:t xml:space="preserve">PluginFramework40.dll — included with every PowerMill installation at &lt;Install-Location&gt;\file\plugins\framework\PluginFramework40\bin\Release</w:t>
            </w:r>
          </w:p>
        </w:tc>
      </w:tr>
      <w:tr>
        <w:tc>
          <w:tcPr>
            <w:tcW w:type="dxa" w:w="2600"/>
            <w:tcBorders>
              <w:top w:val="single" w:color="BDD6EE" w:sz="1"/>
              <w:left w:val="single" w:color="BDD6EE" w:sz="1"/>
              <w:bottom w:val="single" w:color="BDD6EE" w:sz="1"/>
              <w:right w:val="single" w:color="BDD6EE" w:sz="1"/>
            </w:tcBorders>
            <w:shd w:fill="FFFFFF" w:val="clear"/>
            <w:tcMar>
              <w:top w:type="dxa" w:w="90"/>
              <w:left w:type="dxa" w:w="150"/>
              <w:bottom w:type="dxa" w:w="90"/>
              <w:right w:type="dxa" w:w="150"/>
            </w:tcMar>
          </w:tcPr>
          <w:p>
            <w:pPr>
              <w:jc w:val="left"/>
            </w:pPr>
            <w:r>
              <w:rPr>
                <w:rFonts w:ascii="Arial" w:cs="Arial" w:eastAsia="Arial" w:hAnsi="Arial"/>
                <w:b/>
                <w:bCs/>
                <w:color w:val="1F4E79"/>
                <w:sz w:val="18"/>
                <w:szCs w:val="18"/>
              </w:rPr>
              <w:t xml:space="preserve">UI Technology</w:t>
            </w:r>
          </w:p>
        </w:tc>
        <w:tc>
          <w:tcPr>
            <w:tcW w:type="dxa" w:w="6760"/>
            <w:tcBorders>
              <w:top w:val="single" w:color="BDD6EE" w:sz="1"/>
              <w:left w:val="single" w:color="BDD6EE" w:sz="1"/>
              <w:bottom w:val="single" w:color="BDD6EE" w:sz="1"/>
              <w:right w:val="single" w:color="BDD6EE" w:sz="1"/>
            </w:tcBorders>
            <w:shd w:fill="FFFFFF" w:val="clear"/>
            <w:tcMar>
              <w:top w:type="dxa" w:w="90"/>
              <w:left w:type="dxa" w:w="150"/>
              <w:bottom w:type="dxa" w:w="90"/>
              <w:right w:type="dxa" w:w="150"/>
            </w:tcMar>
          </w:tcPr>
          <w:p>
            <w:pPr>
              <w:jc w:val="left"/>
            </w:pPr>
            <w:r>
              <w:rPr>
                <w:rFonts w:ascii="Arial" w:cs="Arial" w:eastAsia="Arial" w:hAnsi="Arial"/>
                <w:b w:val="false"/>
                <w:bCs w:val="false"/>
                <w:color w:val="1A1A1A"/>
                <w:sz w:val="18"/>
                <w:szCs w:val="18"/>
              </w:rPr>
              <w:t xml:space="preserve">WPF (XAML) — standard Windows desktop UI framework. Full access to buttons, progress bars, data grids, status indicators.</w:t>
            </w:r>
          </w:p>
        </w:tc>
      </w:tr>
      <w:tr>
        <w:tc>
          <w:tcPr>
            <w:tcW w:type="dxa" w:w="2600"/>
            <w:tcBorders>
              <w:top w:val="single" w:color="BDD6EE" w:sz="1"/>
              <w:left w:val="single" w:color="BDD6EE" w:sz="1"/>
              <w:bottom w:val="single" w:color="BDD6EE" w:sz="1"/>
              <w:right w:val="single" w:color="BDD6EE" w:sz="1"/>
            </w:tcBorders>
            <w:shd w:fill="F0F7FD" w:val="clear"/>
            <w:tcMar>
              <w:top w:type="dxa" w:w="90"/>
              <w:left w:type="dxa" w:w="150"/>
              <w:bottom w:type="dxa" w:w="90"/>
              <w:right w:type="dxa" w:w="150"/>
            </w:tcMar>
          </w:tcPr>
          <w:p>
            <w:pPr>
              <w:jc w:val="left"/>
            </w:pPr>
            <w:r>
              <w:rPr>
                <w:rFonts w:ascii="Arial" w:cs="Arial" w:eastAsia="Arial" w:hAnsi="Arial"/>
                <w:b/>
                <w:bCs/>
                <w:color w:val="1F4E79"/>
                <w:sz w:val="18"/>
                <w:szCs w:val="18"/>
              </w:rPr>
              <w:t xml:space="preserve">Panel Types</w:t>
            </w:r>
          </w:p>
        </w:tc>
        <w:tc>
          <w:tcPr>
            <w:tcW w:type="dxa" w:w="6760"/>
            <w:tcBorders>
              <w:top w:val="single" w:color="BDD6EE" w:sz="1"/>
              <w:left w:val="single" w:color="BDD6EE" w:sz="1"/>
              <w:bottom w:val="single" w:color="BDD6EE" w:sz="1"/>
              <w:right w:val="single" w:color="BDD6EE" w:sz="1"/>
            </w:tcBorders>
            <w:shd w:fill="F0F7FD" w:val="clear"/>
            <w:tcMar>
              <w:top w:type="dxa" w:w="90"/>
              <w:left w:type="dxa" w:w="150"/>
              <w:bottom w:type="dxa" w:w="90"/>
              <w:right w:type="dxa" w:w="150"/>
            </w:tcMar>
          </w:tcPr>
          <w:p>
            <w:pPr>
              <w:jc w:val="left"/>
            </w:pPr>
            <w:r>
              <w:rPr>
                <w:rFonts w:ascii="Arial" w:cs="Arial" w:eastAsia="Arial" w:hAnsi="Arial"/>
                <w:b w:val="false"/>
                <w:bCs w:val="false"/>
                <w:color w:val="1A1A1A"/>
                <w:sz w:val="18"/>
                <w:szCs w:val="18"/>
              </w:rPr>
              <w:t xml:space="preserve">HorizontalTabExample (ribbon tab) or VerticalPaneExample (side panel). Both demonstrated in Autodesk's open-source example repository.</w:t>
            </w:r>
          </w:p>
        </w:tc>
      </w:tr>
      <w:tr>
        <w:tc>
          <w:tcPr>
            <w:tcW w:type="dxa" w:w="2600"/>
            <w:tcBorders>
              <w:top w:val="single" w:color="BDD6EE" w:sz="1"/>
              <w:left w:val="single" w:color="BDD6EE" w:sz="1"/>
              <w:bottom w:val="single" w:color="BDD6EE" w:sz="1"/>
              <w:right w:val="single" w:color="BDD6EE" w:sz="1"/>
            </w:tcBorders>
            <w:shd w:fill="FFFFFF" w:val="clear"/>
            <w:tcMar>
              <w:top w:type="dxa" w:w="90"/>
              <w:left w:type="dxa" w:w="150"/>
              <w:bottom w:type="dxa" w:w="90"/>
              <w:right w:type="dxa" w:w="150"/>
            </w:tcMar>
          </w:tcPr>
          <w:p>
            <w:pPr>
              <w:jc w:val="left"/>
            </w:pPr>
            <w:r>
              <w:rPr>
                <w:rFonts w:ascii="Arial" w:cs="Arial" w:eastAsia="Arial" w:hAnsi="Arial"/>
                <w:b/>
                <w:bCs/>
                <w:color w:val="1F4E79"/>
                <w:sz w:val="18"/>
                <w:szCs w:val="18"/>
              </w:rPr>
              <w:t xml:space="preserve">Entry Point</w:t>
            </w:r>
          </w:p>
        </w:tc>
        <w:tc>
          <w:tcPr>
            <w:tcW w:type="dxa" w:w="6760"/>
            <w:tcBorders>
              <w:top w:val="single" w:color="BDD6EE" w:sz="1"/>
              <w:left w:val="single" w:color="BDD6EE" w:sz="1"/>
              <w:bottom w:val="single" w:color="BDD6EE" w:sz="1"/>
              <w:right w:val="single" w:color="BDD6EE" w:sz="1"/>
            </w:tcBorders>
            <w:shd w:fill="FFFFFF" w:val="clear"/>
            <w:tcMar>
              <w:top w:type="dxa" w:w="90"/>
              <w:left w:type="dxa" w:w="150"/>
              <w:bottom w:type="dxa" w:w="90"/>
              <w:right w:type="dxa" w:w="150"/>
            </w:tcMar>
          </w:tcPr>
          <w:p>
            <w:pPr>
              <w:jc w:val="left"/>
            </w:pPr>
            <w:r>
              <w:rPr>
                <w:rFonts w:ascii="Arial" w:cs="Arial" w:eastAsia="Arial" w:hAnsi="Arial"/>
                <w:b w:val="false"/>
                <w:bCs w:val="false"/>
                <w:color w:val="1A1A1A"/>
                <w:sz w:val="18"/>
                <w:szCs w:val="18"/>
              </w:rPr>
              <w:t xml:space="preserve">Class implementing IPowerMILLPlugin interface. COM-registered via regasm.exe with a unique GUID. Loaded via Plugin Manager in PowerMill.</w:t>
            </w:r>
          </w:p>
        </w:tc>
      </w:tr>
      <w:tr>
        <w:tc>
          <w:tcPr>
            <w:tcW w:type="dxa" w:w="2600"/>
            <w:tcBorders>
              <w:top w:val="single" w:color="BDD6EE" w:sz="1"/>
              <w:left w:val="single" w:color="BDD6EE" w:sz="1"/>
              <w:bottom w:val="single" w:color="BDD6EE" w:sz="1"/>
              <w:right w:val="single" w:color="BDD6EE" w:sz="1"/>
            </w:tcBorders>
            <w:shd w:fill="F0F7FD" w:val="clear"/>
            <w:tcMar>
              <w:top w:type="dxa" w:w="90"/>
              <w:left w:type="dxa" w:w="150"/>
              <w:bottom w:type="dxa" w:w="90"/>
              <w:right w:type="dxa" w:w="150"/>
            </w:tcMar>
          </w:tcPr>
          <w:p>
            <w:pPr>
              <w:jc w:val="left"/>
            </w:pPr>
            <w:r>
              <w:rPr>
                <w:rFonts w:ascii="Arial" w:cs="Arial" w:eastAsia="Arial" w:hAnsi="Arial"/>
                <w:b/>
                <w:bCs/>
                <w:color w:val="1F4E79"/>
                <w:sz w:val="18"/>
                <w:szCs w:val="18"/>
              </w:rPr>
              <w:t xml:space="preserve">Our Use</w:t>
            </w:r>
          </w:p>
        </w:tc>
        <w:tc>
          <w:tcPr>
            <w:tcW w:type="dxa" w:w="6760"/>
            <w:tcBorders>
              <w:top w:val="single" w:color="BDD6EE" w:sz="1"/>
              <w:left w:val="single" w:color="BDD6EE" w:sz="1"/>
              <w:bottom w:val="single" w:color="BDD6EE" w:sz="1"/>
              <w:right w:val="single" w:color="BDD6EE" w:sz="1"/>
            </w:tcBorders>
            <w:shd w:fill="F0F7FD" w:val="clear"/>
            <w:tcMar>
              <w:top w:type="dxa" w:w="90"/>
              <w:left w:type="dxa" w:w="150"/>
              <w:bottom w:type="dxa" w:w="90"/>
              <w:right w:type="dxa" w:w="150"/>
            </w:tcMar>
          </w:tcPr>
          <w:p>
            <w:pPr>
              <w:jc w:val="left"/>
            </w:pPr>
            <w:r>
              <w:rPr>
                <w:rFonts w:ascii="Arial" w:cs="Arial" w:eastAsia="Arial" w:hAnsi="Arial"/>
                <w:b w:val="false"/>
                <w:bCs w:val="false"/>
                <w:color w:val="1A1A1A"/>
                <w:sz w:val="18"/>
                <w:szCs w:val="18"/>
              </w:rPr>
              <w:t xml:space="preserve">Side panel showing: (1) Detected feature list with visual badges, (2) Suggested strategy with confidence score, (3) Computed feeds/speeds per operation, (4) 'Generate' and 'Refine' buttons, (5) Real-time progress indicator during cloud API call</w:t>
            </w:r>
          </w:p>
        </w:tc>
      </w:tr>
    </w:tbl>
    <w:p>
      <w:r>
        <w:rPr>
          <w:sz w:val="18"/>
          <w:szCs w:val="18"/>
        </w:rPr>
        <w:t xml:space="preserve"/>
      </w:r>
    </w:p>
    <w:p>
      <w:pPr>
        <w:pStyle w:val="Heading2"/>
        <w:spacing w:before="260" w:after="80"/>
      </w:pPr>
      <w:r>
        <w:rPr>
          <w:rFonts w:ascii="Arial" w:cs="Arial" w:eastAsia="Arial" w:hAnsi="Arial"/>
          <w:b/>
          <w:bCs/>
          <w:color w:val="2E75B6"/>
          <w:sz w:val="26"/>
          <w:szCs w:val="26"/>
        </w:rPr>
        <w:t xml:space="preserve">3.4 End-to-End Integration Architecture for PowerMill</w:t>
      </w:r>
    </w:p>
    <w:p>
      <w:pPr>
        <w:spacing w:before="60" w:after="60"/>
      </w:pPr>
      <w:r>
        <w:rPr>
          <w:rFonts w:ascii="Arial" w:cs="Arial" w:eastAsia="Arial" w:hAnsi="Arial"/>
          <w:sz w:val="20"/>
          <w:szCs w:val="20"/>
        </w:rPr>
        <w:t xml:space="preserve">The following diagram describes the complete data flow for our PowerMill plug-in, from the moment a user opens a CAD model to the moment AI-generated toolpaths appear in the PowerMill project tree:</w:t>
      </w:r>
    </w:p>
    <w:p>
      <w:r>
        <w:rPr>
          <w:sz w:val="18"/>
          <w:szCs w:val="18"/>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DD6EE" w:sz="1"/>
              <w:left w:val="single" w:color="BDD6EE" w:sz="1"/>
              <w:bottom w:val="single" w:color="BDD6EE" w:sz="1"/>
              <w:right w:val="single" w:color="BDD6EE" w:sz="1"/>
            </w:tcBorders>
            <w:shd w:fill="1A2332" w:val="clear"/>
            <w:tcMar>
              <w:top w:type="dxa" w:w="160"/>
              <w:left w:type="dxa" w:w="240"/>
              <w:bottom w:type="dxa" w:w="160"/>
              <w:right w:type="dxa" w:w="240"/>
            </w:tcMar>
          </w:tcPr>
          <w:p>
            <w:pPr>
              <w:spacing w:before="0" w:after="0"/>
            </w:pPr>
            <w:r>
              <w:rPr>
                <w:rFonts w:ascii="Courier New" w:cs="Courier New" w:eastAsia="Courier New" w:hAnsi="Courier New"/>
                <w:color w:val="7FC6F5"/>
                <w:sz w:val="16"/>
                <w:szCs w:val="16"/>
              </w:rPr>
              <w:t xml:space="preserve">Step 1: User opens CAD model in PowerMill (DMT / STEP / IGES / STL import)</w:t>
            </w:r>
          </w:p>
          <w:p>
            <w:pPr>
              <w:spacing w:before="14" w:after="0"/>
            </w:pPr>
            <w:r>
              <w:rPr>
                <w:rFonts w:ascii="Courier New" w:cs="Courier New" w:eastAsia="Courier New" w:hAnsi="Courier New"/>
                <w:color w:val="555555"/>
                <w:sz w:val="16"/>
                <w:szCs w:val="16"/>
              </w:rPr>
              <w:t xml:space="preserve">         ↓</w:t>
            </w:r>
          </w:p>
          <w:p>
            <w:pPr>
              <w:spacing w:before="14" w:after="0"/>
            </w:pPr>
            <w:r>
              <w:rPr>
                <w:rFonts w:ascii="Courier New" w:cs="Courier New" w:eastAsia="Courier New" w:hAnsi="Courier New"/>
                <w:color w:val="7FC6F5"/>
                <w:sz w:val="16"/>
                <w:szCs w:val="16"/>
              </w:rPr>
              <w:t xml:space="preserve">Step 2: User clicks 'Analyze' in the AI CAM Assistant side panel</w:t>
            </w:r>
          </w:p>
          <w:p>
            <w:pPr>
              <w:spacing w:before="14" w:after="0"/>
            </w:pPr>
            <w:r>
              <w:rPr>
                <w:rFonts w:ascii="Courier New" w:cs="Courier New" w:eastAsia="Courier New" w:hAnsi="Courier New"/>
                <w:color w:val="555555"/>
                <w:sz w:val="16"/>
                <w:szCs w:val="16"/>
              </w:rPr>
              <w:t xml:space="preserve">         ↓</w:t>
            </w:r>
          </w:p>
          <w:p>
            <w:pPr>
              <w:spacing w:before="14" w:after="0"/>
            </w:pPr>
            <w:r>
              <w:rPr>
                <w:rFonts w:ascii="Courier New" w:cs="Courier New" w:eastAsia="Courier New" w:hAnsi="Courier New"/>
                <w:color w:val="7FC6F5"/>
                <w:sz w:val="16"/>
                <w:szCs w:val="16"/>
              </w:rPr>
              <w:t xml:space="preserve">Step 3: C# plug-in reads active model geometry via COM API — extracts STEP/mesh</w:t>
            </w:r>
          </w:p>
          <w:p>
            <w:pPr>
              <w:spacing w:before="14" w:after="0"/>
            </w:pPr>
            <w:r>
              <w:rPr>
                <w:rFonts w:ascii="Courier New" w:cs="Courier New" w:eastAsia="Courier New" w:hAnsi="Courier New"/>
                <w:color w:val="D4D4D4"/>
                <w:sz w:val="16"/>
                <w:szCs w:val="16"/>
              </w:rPr>
              <w:t xml:space="preserve">         reads tool library XML, machine definition, material assignment from session</w:t>
            </w:r>
          </w:p>
          <w:p>
            <w:pPr>
              <w:spacing w:before="14" w:after="0"/>
            </w:pPr>
            <w:r>
              <w:rPr>
                <w:rFonts w:ascii="Courier New" w:cs="Courier New" w:eastAsia="Courier New" w:hAnsi="Courier New"/>
                <w:color w:val="555555"/>
                <w:sz w:val="16"/>
                <w:szCs w:val="16"/>
              </w:rPr>
              <w:t xml:space="preserve">         ↓</w:t>
            </w:r>
          </w:p>
          <w:p>
            <w:pPr>
              <w:spacing w:before="14" w:after="0"/>
            </w:pPr>
            <w:r>
              <w:rPr>
                <w:rFonts w:ascii="Courier New" w:cs="Courier New" w:eastAsia="Courier New" w:hAnsi="Courier New"/>
                <w:color w:val="7FC6F5"/>
                <w:sz w:val="16"/>
                <w:szCs w:val="16"/>
              </w:rPr>
              <w:t xml:space="preserve">Step 4: Geometry + config POSTed to cloud AI engine (FastAPI / HTTPS)</w:t>
            </w:r>
          </w:p>
          <w:p>
            <w:pPr>
              <w:spacing w:before="14" w:after="0"/>
            </w:pPr>
            <w:r>
              <w:rPr>
                <w:rFonts w:ascii="Courier New" w:cs="Courier New" w:eastAsia="Courier New" w:hAnsi="Courier New"/>
                <w:color w:val="555555"/>
                <w:sz w:val="16"/>
                <w:szCs w:val="16"/>
              </w:rPr>
              <w:t xml:space="preserve">         ↓</w:t>
            </w:r>
          </w:p>
          <w:p>
            <w:pPr>
              <w:spacing w:before="14" w:after="0"/>
            </w:pPr>
            <w:r>
              <w:rPr>
                <w:rFonts w:ascii="Courier New" w:cs="Courier New" w:eastAsia="Courier New" w:hAnsi="Courier New"/>
                <w:color w:val="7FC6F5"/>
                <w:sz w:val="16"/>
                <w:szCs w:val="16"/>
              </w:rPr>
              <w:t xml:space="preserve">Step 5: Cloud runs: Feature Recognition (GNN) → Strategy Generation → Physics Engine</w:t>
            </w:r>
          </w:p>
          <w:p>
            <w:pPr>
              <w:spacing w:before="14" w:after="0"/>
            </w:pPr>
            <w:r>
              <w:rPr>
                <w:rFonts w:ascii="Courier New" w:cs="Courier New" w:eastAsia="Courier New" w:hAnsi="Courier New"/>
                <w:color w:val="D4D4D4"/>
                <w:sz w:val="16"/>
                <w:szCs w:val="16"/>
              </w:rPr>
              <w:t xml:space="preserve">         returns JSON: [{feature, operation_type, strategy, tool, feeds, speeds, doc, stepover}]</w:t>
            </w:r>
          </w:p>
          <w:p>
            <w:pPr>
              <w:spacing w:before="14" w:after="0"/>
            </w:pPr>
            <w:r>
              <w:rPr>
                <w:rFonts w:ascii="Courier New" w:cs="Courier New" w:eastAsia="Courier New" w:hAnsi="Courier New"/>
                <w:color w:val="555555"/>
                <w:sz w:val="16"/>
                <w:szCs w:val="16"/>
              </w:rPr>
              <w:t xml:space="preserve">         ↓</w:t>
            </w:r>
          </w:p>
          <w:p>
            <w:pPr>
              <w:spacing w:before="14" w:after="0"/>
            </w:pPr>
            <w:r>
              <w:rPr>
                <w:rFonts w:ascii="Courier New" w:cs="Courier New" w:eastAsia="Courier New" w:hAnsi="Courier New"/>
                <w:color w:val="7FC6F5"/>
                <w:sz w:val="16"/>
                <w:szCs w:val="16"/>
              </w:rPr>
              <w:t xml:space="preserve">Step 6: C# plug-in displays results in side panel — user reviews and approves</w:t>
            </w:r>
          </w:p>
          <w:p>
            <w:pPr>
              <w:spacing w:before="14" w:after="0"/>
            </w:pPr>
            <w:r>
              <w:rPr>
                <w:rFonts w:ascii="Courier New" w:cs="Courier New" w:eastAsia="Courier New" w:hAnsi="Courier New"/>
                <w:color w:val="555555"/>
                <w:sz w:val="16"/>
                <w:szCs w:val="16"/>
              </w:rPr>
              <w:t xml:space="preserve">         ↓</w:t>
            </w:r>
          </w:p>
          <w:p>
            <w:pPr>
              <w:spacing w:before="14" w:after="0"/>
            </w:pPr>
            <w:r>
              <w:rPr>
                <w:rFonts w:ascii="Courier New" w:cs="Courier New" w:eastAsia="Courier New" w:hAnsi="Courier New"/>
                <w:color w:val="7FC6F5"/>
                <w:sz w:val="16"/>
                <w:szCs w:val="16"/>
              </w:rPr>
              <w:t xml:space="preserve">Step 7: Plug-in generates PowerMill macro (.mac) string from JSON response</w:t>
            </w:r>
          </w:p>
          <w:p>
            <w:pPr>
              <w:spacing w:before="14" w:after="0"/>
            </w:pPr>
            <w:r>
              <w:rPr>
                <w:rFonts w:ascii="Courier New" w:cs="Courier New" w:eastAsia="Courier New" w:hAnsi="Courier New"/>
                <w:color w:val="D4D4D4"/>
                <w:sz w:val="16"/>
                <w:szCs w:val="16"/>
              </w:rPr>
              <w:t xml:space="preserve">         executes macro via ExecuteEx() — creates tools, boundaries, toolpaths in PM session</w:t>
            </w:r>
          </w:p>
          <w:p>
            <w:pPr>
              <w:spacing w:before="14" w:after="0"/>
            </w:pPr>
            <w:r>
              <w:rPr>
                <w:rFonts w:ascii="Courier New" w:cs="Courier New" w:eastAsia="Courier New" w:hAnsi="Courier New"/>
                <w:color w:val="555555"/>
                <w:sz w:val="16"/>
                <w:szCs w:val="16"/>
              </w:rPr>
              <w:t xml:space="preserve">         ↓</w:t>
            </w:r>
          </w:p>
          <w:p>
            <w:pPr>
              <w:spacing w:before="14" w:after="0"/>
            </w:pPr>
            <w:r>
              <w:rPr>
                <w:rFonts w:ascii="Courier New" w:cs="Courier New" w:eastAsia="Courier New" w:hAnsi="Courier New"/>
                <w:color w:val="7FC6F5"/>
                <w:sz w:val="16"/>
                <w:szCs w:val="16"/>
              </w:rPr>
              <w:t xml:space="preserve">Step 8: PowerMill calculates toolpaths (EDIT TOOLPATH ; CALCULATE)</w:t>
            </w:r>
          </w:p>
          <w:p>
            <w:pPr>
              <w:spacing w:before="14" w:after="0"/>
            </w:pPr>
            <w:r>
              <w:rPr>
                <w:rFonts w:ascii="Courier New" w:cs="Courier New" w:eastAsia="Courier New" w:hAnsi="Courier New"/>
                <w:color w:val="D4D4D4"/>
                <w:sz w:val="16"/>
                <w:szCs w:val="16"/>
              </w:rPr>
              <w:t xml:space="preserve">         All generated toolpaths are fully editable native PowerMill objects</w:t>
            </w:r>
          </w:p>
        </w:tc>
      </w:tr>
    </w:tbl>
    <w:p>
      <w:r>
        <w:rPr>
          <w:sz w:val="18"/>
          <w:szCs w:val="18"/>
        </w:rPr>
        <w:t xml:space="preserve"/>
      </w:r>
    </w:p>
    <w:p>
      <w:pPr>
        <w:pStyle w:val="Heading1"/>
        <w:pBdr>
          <w:bottom w:val="single" w:color="2E75B6" w:sz="8" w:space="8"/>
        </w:pBdr>
        <w:spacing w:before="400" w:after="100"/>
      </w:pPr>
      <w:r>
        <w:rPr>
          <w:rFonts w:ascii="Arial" w:cs="Arial" w:eastAsia="Arial" w:hAnsi="Arial"/>
          <w:b/>
          <w:bCs/>
          <w:color w:val="0D2137"/>
          <w:sz w:val="34"/>
          <w:szCs w:val="34"/>
        </w:rPr>
        <w:t xml:space="preserve">4. Known API Limitations &amp; How We Address Them</w:t>
      </w:r>
    </w:p>
    <w:p>
      <w:pPr>
        <w:spacing w:before="60" w:after="60"/>
      </w:pPr>
      <w:r>
        <w:rPr>
          <w:rFonts w:ascii="Arial" w:cs="Arial" w:eastAsia="Arial" w:hAnsi="Arial"/>
          <w:sz w:val="20"/>
          <w:szCs w:val="20"/>
        </w:rPr>
        <w:t xml:space="preserve">PowerMill's automation API is powerful but has meaningful differences from Fusion's Python API. These must be understood and planned for — not discovered mid-development.</w:t>
      </w:r>
    </w:p>
    <w:p>
      <w:r>
        <w:rPr>
          <w:sz w:val="18"/>
          <w:szCs w:val="18"/>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280"/>
        <w:gridCol w:w="3280"/>
      </w:tblGrid>
      <w:tr>
        <w:tc>
          <w:tcPr>
            <w:tcW w:type="dxa" w:w="2800"/>
            <w:tcBorders>
              <w:top w:val="single" w:color="BDD6EE" w:sz="1"/>
              <w:left w:val="single" w:color="BDD6EE" w:sz="1"/>
              <w:bottom w:val="single" w:color="BDD6EE" w:sz="1"/>
              <w:right w:val="single" w:color="BDD6EE" w:sz="1"/>
            </w:tcBorders>
            <w:shd w:fill="0D2137" w:val="clear"/>
            <w:tcMar>
              <w:top w:type="dxa" w:w="90"/>
              <w:left w:type="dxa" w:w="150"/>
              <w:bottom w:type="dxa" w:w="90"/>
              <w:right w:type="dxa" w:w="150"/>
            </w:tcMar>
          </w:tcPr>
          <w:p>
            <w:pPr>
              <w:jc w:val="left"/>
            </w:pPr>
            <w:r>
              <w:rPr>
                <w:rFonts w:ascii="Arial" w:cs="Arial" w:eastAsia="Arial" w:hAnsi="Arial"/>
                <w:b/>
                <w:bCs/>
                <w:color w:val="FFFFFF"/>
                <w:sz w:val="18"/>
                <w:szCs w:val="18"/>
              </w:rPr>
              <w:t xml:space="preserve">Limitation</w:t>
            </w:r>
          </w:p>
        </w:tc>
        <w:tc>
          <w:tcPr>
            <w:tcW w:type="dxa" w:w="3280"/>
            <w:tcBorders>
              <w:top w:val="single" w:color="BDD6EE" w:sz="1"/>
              <w:left w:val="single" w:color="BDD6EE" w:sz="1"/>
              <w:bottom w:val="single" w:color="BDD6EE" w:sz="1"/>
              <w:right w:val="single" w:color="BDD6EE" w:sz="1"/>
            </w:tcBorders>
            <w:shd w:fill="0D2137" w:val="clear"/>
            <w:tcMar>
              <w:top w:type="dxa" w:w="90"/>
              <w:left w:type="dxa" w:w="150"/>
              <w:bottom w:type="dxa" w:w="90"/>
              <w:right w:type="dxa" w:w="150"/>
            </w:tcMar>
          </w:tcPr>
          <w:p>
            <w:pPr>
              <w:jc w:val="left"/>
            </w:pPr>
            <w:r>
              <w:rPr>
                <w:rFonts w:ascii="Arial" w:cs="Arial" w:eastAsia="Arial" w:hAnsi="Arial"/>
                <w:b/>
                <w:bCs/>
                <w:color w:val="FFFFFF"/>
                <w:sz w:val="18"/>
                <w:szCs w:val="18"/>
              </w:rPr>
              <w:t xml:space="preserve">Impact on Us</w:t>
            </w:r>
          </w:p>
        </w:tc>
        <w:tc>
          <w:tcPr>
            <w:tcW w:type="dxa" w:w="3280"/>
            <w:tcBorders>
              <w:top w:val="single" w:color="BDD6EE" w:sz="1"/>
              <w:left w:val="single" w:color="BDD6EE" w:sz="1"/>
              <w:bottom w:val="single" w:color="BDD6EE" w:sz="1"/>
              <w:right w:val="single" w:color="BDD6EE" w:sz="1"/>
            </w:tcBorders>
            <w:shd w:fill="0D2137" w:val="clear"/>
            <w:tcMar>
              <w:top w:type="dxa" w:w="90"/>
              <w:left w:type="dxa" w:w="150"/>
              <w:bottom w:type="dxa" w:w="90"/>
              <w:right w:type="dxa" w:w="150"/>
            </w:tcMar>
          </w:tcPr>
          <w:p>
            <w:pPr>
              <w:jc w:val="left"/>
            </w:pPr>
            <w:r>
              <w:rPr>
                <w:rFonts w:ascii="Arial" w:cs="Arial" w:eastAsia="Arial" w:hAnsi="Arial"/>
                <w:b/>
                <w:bCs/>
                <w:color w:val="FFFFFF"/>
                <w:sz w:val="18"/>
                <w:szCs w:val="18"/>
              </w:rPr>
              <w:t xml:space="preserve">Mitigation</w:t>
            </w:r>
          </w:p>
        </w:tc>
      </w:tr>
      <w:tr>
        <w:tc>
          <w:tcPr>
            <w:tcW w:type="dxa" w:w="2800"/>
            <w:tcBorders>
              <w:top w:val="single" w:color="BDD6EE" w:sz="1"/>
              <w:left w:val="single" w:color="BDD6EE" w:sz="1"/>
              <w:bottom w:val="single" w:color="BDD6EE" w:sz="1"/>
              <w:right w:val="single" w:color="BDD6EE" w:sz="1"/>
            </w:tcBorders>
            <w:shd w:fill="F0F7FD" w:val="clear"/>
            <w:tcMar>
              <w:top w:type="dxa" w:w="90"/>
              <w:left w:type="dxa" w:w="150"/>
              <w:bottom w:type="dxa" w:w="90"/>
              <w:right w:type="dxa" w:w="150"/>
            </w:tcMar>
          </w:tcPr>
          <w:p>
            <w:pPr>
              <w:jc w:val="left"/>
            </w:pPr>
            <w:r>
              <w:rPr>
                <w:rFonts w:ascii="Arial" w:cs="Arial" w:eastAsia="Arial" w:hAnsi="Arial"/>
                <w:b w:val="false"/>
                <w:bCs w:val="false"/>
                <w:color w:val="1A1A1A"/>
                <w:sz w:val="18"/>
                <w:szCs w:val="18"/>
              </w:rPr>
              <w:t xml:space="preserve">Low development priority from Autodesk. The API examples repo states 'low development priority' and is not actively maintained.</w:t>
            </w:r>
          </w:p>
        </w:tc>
        <w:tc>
          <w:tcPr>
            <w:tcW w:type="dxa" w:w="3280"/>
            <w:tcBorders>
              <w:top w:val="single" w:color="BDD6EE" w:sz="1"/>
              <w:left w:val="single" w:color="BDD6EE" w:sz="1"/>
              <w:bottom w:val="single" w:color="BDD6EE" w:sz="1"/>
              <w:right w:val="single" w:color="BDD6EE" w:sz="1"/>
            </w:tcBorders>
            <w:shd w:fill="F0F7FD" w:val="clear"/>
            <w:tcMar>
              <w:top w:type="dxa" w:w="90"/>
              <w:left w:type="dxa" w:w="150"/>
              <w:bottom w:type="dxa" w:w="90"/>
              <w:right w:type="dxa" w:w="150"/>
            </w:tcMar>
          </w:tcPr>
          <w:p>
            <w:pPr>
              <w:jc w:val="left"/>
            </w:pPr>
            <w:r>
              <w:rPr>
                <w:rFonts w:ascii="Arial" w:cs="Arial" w:eastAsia="Arial" w:hAnsi="Arial"/>
                <w:b w:val="false"/>
                <w:bCs w:val="false"/>
                <w:color w:val="1A1A1A"/>
                <w:sz w:val="18"/>
                <w:szCs w:val="18"/>
              </w:rPr>
              <w:t xml:space="preserve">API bugs discovered after release may not be patched quickly. Features we need may be absent.</w:t>
            </w:r>
          </w:p>
        </w:tc>
        <w:tc>
          <w:tcPr>
            <w:tcW w:type="dxa" w:w="3280"/>
            <w:tcBorders>
              <w:top w:val="single" w:color="BDD6EE" w:sz="1"/>
              <w:left w:val="single" w:color="BDD6EE" w:sz="1"/>
              <w:bottom w:val="single" w:color="BDD6EE" w:sz="1"/>
              <w:right w:val="single" w:color="BDD6EE" w:sz="1"/>
            </w:tcBorders>
            <w:shd w:fill="F0F7FD" w:val="clear"/>
            <w:tcMar>
              <w:top w:type="dxa" w:w="90"/>
              <w:left w:type="dxa" w:w="150"/>
              <w:bottom w:type="dxa" w:w="90"/>
              <w:right w:type="dxa" w:w="150"/>
            </w:tcMar>
          </w:tcPr>
          <w:p>
            <w:pPr>
              <w:jc w:val="left"/>
            </w:pPr>
            <w:r>
              <w:rPr>
                <w:rFonts w:ascii="Arial" w:cs="Arial" w:eastAsia="Arial" w:hAnsi="Arial"/>
                <w:b w:val="false"/>
                <w:bCs w:val="false"/>
                <w:color w:val="1A1A1A"/>
                <w:sz w:val="18"/>
                <w:szCs w:val="18"/>
              </w:rPr>
              <w:t xml:space="preserve">Rely only on stable, well-documented API surfaces. Supplement with macros for any unsupported operation — macros are more stable than the COM API.</w:t>
            </w:r>
          </w:p>
        </w:tc>
      </w:tr>
      <w:tr>
        <w:tc>
          <w:tcPr>
            <w:tcW w:type="dxa" w:w="2800"/>
            <w:tcBorders>
              <w:top w:val="single" w:color="BDD6EE" w:sz="1"/>
              <w:left w:val="single" w:color="BDD6EE" w:sz="1"/>
              <w:bottom w:val="single" w:color="BDD6EE" w:sz="1"/>
              <w:right w:val="single" w:color="BDD6EE" w:sz="1"/>
            </w:tcBorders>
            <w:shd w:fill="FFFFFF" w:val="clear"/>
            <w:tcMar>
              <w:top w:type="dxa" w:w="90"/>
              <w:left w:type="dxa" w:w="150"/>
              <w:bottom w:type="dxa" w:w="90"/>
              <w:right w:type="dxa" w:w="150"/>
            </w:tcMar>
          </w:tcPr>
          <w:p>
            <w:pPr>
              <w:jc w:val="left"/>
            </w:pPr>
            <w:r>
              <w:rPr>
                <w:rFonts w:ascii="Arial" w:cs="Arial" w:eastAsia="Arial" w:hAnsi="Arial"/>
                <w:b w:val="false"/>
                <w:bCs w:val="false"/>
                <w:color w:val="1A1A1A"/>
                <w:sz w:val="18"/>
                <w:szCs w:val="18"/>
              </w:rPr>
              <w:t xml:space="preserve">COM-based architecture requires Windows. No cross-platform support.</w:t>
            </w:r>
          </w:p>
        </w:tc>
        <w:tc>
          <w:tcPr>
            <w:tcW w:type="dxa" w:w="3280"/>
            <w:tcBorders>
              <w:top w:val="single" w:color="BDD6EE" w:sz="1"/>
              <w:left w:val="single" w:color="BDD6EE" w:sz="1"/>
              <w:bottom w:val="single" w:color="BDD6EE" w:sz="1"/>
              <w:right w:val="single" w:color="BDD6EE" w:sz="1"/>
            </w:tcBorders>
            <w:shd w:fill="FFFFFF" w:val="clear"/>
            <w:tcMar>
              <w:top w:type="dxa" w:w="90"/>
              <w:left w:type="dxa" w:w="150"/>
              <w:bottom w:type="dxa" w:w="90"/>
              <w:right w:type="dxa" w:w="150"/>
            </w:tcMar>
          </w:tcPr>
          <w:p>
            <w:pPr>
              <w:jc w:val="left"/>
            </w:pPr>
            <w:r>
              <w:rPr>
                <w:rFonts w:ascii="Arial" w:cs="Arial" w:eastAsia="Arial" w:hAnsi="Arial"/>
                <w:b w:val="false"/>
                <w:bCs w:val="false"/>
                <w:color w:val="1A1A1A"/>
                <w:sz w:val="18"/>
                <w:szCs w:val="18"/>
              </w:rPr>
              <w:t xml:space="preserve">Our plug-in development environment must be Windows. Cloud AI engine can be Linux, but the client-side plug-in is Windows-only.</w:t>
            </w:r>
          </w:p>
        </w:tc>
        <w:tc>
          <w:tcPr>
            <w:tcW w:type="dxa" w:w="3280"/>
            <w:tcBorders>
              <w:top w:val="single" w:color="BDD6EE" w:sz="1"/>
              <w:left w:val="single" w:color="BDD6EE" w:sz="1"/>
              <w:bottom w:val="single" w:color="BDD6EE" w:sz="1"/>
              <w:right w:val="single" w:color="BDD6EE" w:sz="1"/>
            </w:tcBorders>
            <w:shd w:fill="FFFFFF" w:val="clear"/>
            <w:tcMar>
              <w:top w:type="dxa" w:w="90"/>
              <w:left w:type="dxa" w:w="150"/>
              <w:bottom w:type="dxa" w:w="90"/>
              <w:right w:type="dxa" w:w="150"/>
            </w:tcMar>
          </w:tcPr>
          <w:p>
            <w:pPr>
              <w:jc w:val="left"/>
            </w:pPr>
            <w:r>
              <w:rPr>
                <w:rFonts w:ascii="Arial" w:cs="Arial" w:eastAsia="Arial" w:hAnsi="Arial"/>
                <w:b w:val="false"/>
                <w:bCs w:val="false"/>
                <w:color w:val="1A1A1A"/>
                <w:sz w:val="18"/>
                <w:szCs w:val="18"/>
              </w:rPr>
              <w:t xml:space="preserve">Use Visual Studio on Windows for C# plug-in development. All ML/AI components (cloud API, model training) remain on Linux/AWS. This is standard for industrial CAM plug-ins — all major players (CloudNC, Lambda Function) follow this architecture.</w:t>
            </w:r>
          </w:p>
        </w:tc>
      </w:tr>
      <w:tr>
        <w:tc>
          <w:tcPr>
            <w:tcW w:type="dxa" w:w="2800"/>
            <w:tcBorders>
              <w:top w:val="single" w:color="BDD6EE" w:sz="1"/>
              <w:left w:val="single" w:color="BDD6EE" w:sz="1"/>
              <w:bottom w:val="single" w:color="BDD6EE" w:sz="1"/>
              <w:right w:val="single" w:color="BDD6EE" w:sz="1"/>
            </w:tcBorders>
            <w:shd w:fill="F0F7FD" w:val="clear"/>
            <w:tcMar>
              <w:top w:type="dxa" w:w="90"/>
              <w:left w:type="dxa" w:w="150"/>
              <w:bottom w:type="dxa" w:w="90"/>
              <w:right w:type="dxa" w:w="150"/>
            </w:tcMar>
          </w:tcPr>
          <w:p>
            <w:pPr>
              <w:jc w:val="left"/>
            </w:pPr>
            <w:r>
              <w:rPr>
                <w:rFonts w:ascii="Arial" w:cs="Arial" w:eastAsia="Arial" w:hAnsi="Arial"/>
                <w:b w:val="false"/>
                <w:bCs w:val="false"/>
                <w:color w:val="1A1A1A"/>
                <w:sz w:val="18"/>
                <w:szCs w:val="18"/>
              </w:rPr>
              <w:t xml:space="preserve">No direct geometry query API. Cannot read B-Rep face data natively from C#.</w:t>
            </w:r>
          </w:p>
        </w:tc>
        <w:tc>
          <w:tcPr>
            <w:tcW w:type="dxa" w:w="3280"/>
            <w:tcBorders>
              <w:top w:val="single" w:color="BDD6EE" w:sz="1"/>
              <w:left w:val="single" w:color="BDD6EE" w:sz="1"/>
              <w:bottom w:val="single" w:color="BDD6EE" w:sz="1"/>
              <w:right w:val="single" w:color="BDD6EE" w:sz="1"/>
            </w:tcBorders>
            <w:shd w:fill="F0F7FD" w:val="clear"/>
            <w:tcMar>
              <w:top w:type="dxa" w:w="90"/>
              <w:left w:type="dxa" w:w="150"/>
              <w:bottom w:type="dxa" w:w="90"/>
              <w:right w:type="dxa" w:w="150"/>
            </w:tcMar>
          </w:tcPr>
          <w:p>
            <w:pPr>
              <w:jc w:val="left"/>
            </w:pPr>
            <w:r>
              <w:rPr>
                <w:rFonts w:ascii="Arial" w:cs="Arial" w:eastAsia="Arial" w:hAnsi="Arial"/>
                <w:b w:val="false"/>
                <w:bCs w:val="false"/>
                <w:color w:val="1A1A1A"/>
                <w:sz w:val="18"/>
                <w:szCs w:val="18"/>
              </w:rPr>
              <w:t xml:space="preserve">Feature recognition cannot run client-side by interrogating the PowerMill model directly.</w:t>
            </w:r>
          </w:p>
        </w:tc>
        <w:tc>
          <w:tcPr>
            <w:tcW w:type="dxa" w:w="3280"/>
            <w:tcBorders>
              <w:top w:val="single" w:color="BDD6EE" w:sz="1"/>
              <w:left w:val="single" w:color="BDD6EE" w:sz="1"/>
              <w:bottom w:val="single" w:color="BDD6EE" w:sz="1"/>
              <w:right w:val="single" w:color="BDD6EE" w:sz="1"/>
            </w:tcBorders>
            <w:shd w:fill="F0F7FD" w:val="clear"/>
            <w:tcMar>
              <w:top w:type="dxa" w:w="90"/>
              <w:left w:type="dxa" w:w="150"/>
              <w:bottom w:type="dxa" w:w="90"/>
              <w:right w:type="dxa" w:w="150"/>
            </w:tcMar>
          </w:tcPr>
          <w:p>
            <w:pPr>
              <w:jc w:val="left"/>
            </w:pPr>
            <w:r>
              <w:rPr>
                <w:rFonts w:ascii="Arial" w:cs="Arial" w:eastAsia="Arial" w:hAnsi="Arial"/>
                <w:b w:val="false"/>
                <w:bCs w:val="false"/>
                <w:color w:val="1A1A1A"/>
                <w:sz w:val="18"/>
                <w:szCs w:val="18"/>
              </w:rPr>
              <w:t xml:space="preserve">Export model to STEP via PowerMill export command before sending to cloud API. PowerMill can save/export STEP via macro. All geometry processing happens server-side.</w:t>
            </w:r>
          </w:p>
        </w:tc>
      </w:tr>
      <w:tr>
        <w:tc>
          <w:tcPr>
            <w:tcW w:type="dxa" w:w="2800"/>
            <w:tcBorders>
              <w:top w:val="single" w:color="BDD6EE" w:sz="1"/>
              <w:left w:val="single" w:color="BDD6EE" w:sz="1"/>
              <w:bottom w:val="single" w:color="BDD6EE" w:sz="1"/>
              <w:right w:val="single" w:color="BDD6EE" w:sz="1"/>
            </w:tcBorders>
            <w:shd w:fill="FFFFFF" w:val="clear"/>
            <w:tcMar>
              <w:top w:type="dxa" w:w="90"/>
              <w:left w:type="dxa" w:w="150"/>
              <w:bottom w:type="dxa" w:w="90"/>
              <w:right w:type="dxa" w:w="150"/>
            </w:tcMar>
          </w:tcPr>
          <w:p>
            <w:pPr>
              <w:jc w:val="left"/>
            </w:pPr>
            <w:r>
              <w:rPr>
                <w:rFonts w:ascii="Arial" w:cs="Arial" w:eastAsia="Arial" w:hAnsi="Arial"/>
                <w:b w:val="false"/>
                <w:bCs w:val="false"/>
                <w:color w:val="1A1A1A"/>
                <w:sz w:val="18"/>
                <w:szCs w:val="18"/>
              </w:rPr>
              <w:t xml:space="preserve">Macro syntax is PowerMill-specific and version-sensitive. Macros that work in PM2024 may not work in PM2022.</w:t>
            </w:r>
          </w:p>
        </w:tc>
        <w:tc>
          <w:tcPr>
            <w:tcW w:type="dxa" w:w="3280"/>
            <w:tcBorders>
              <w:top w:val="single" w:color="BDD6EE" w:sz="1"/>
              <w:left w:val="single" w:color="BDD6EE" w:sz="1"/>
              <w:bottom w:val="single" w:color="BDD6EE" w:sz="1"/>
              <w:right w:val="single" w:color="BDD6EE" w:sz="1"/>
            </w:tcBorders>
            <w:shd w:fill="FFFFFF" w:val="clear"/>
            <w:tcMar>
              <w:top w:type="dxa" w:w="90"/>
              <w:left w:type="dxa" w:w="150"/>
              <w:bottom w:type="dxa" w:w="90"/>
              <w:right w:type="dxa" w:w="150"/>
            </w:tcMar>
          </w:tcPr>
          <w:p>
            <w:pPr>
              <w:jc w:val="left"/>
            </w:pPr>
            <w:r>
              <w:rPr>
                <w:rFonts w:ascii="Arial" w:cs="Arial" w:eastAsia="Arial" w:hAnsi="Arial"/>
                <w:b w:val="false"/>
                <w:bCs w:val="false"/>
                <w:color w:val="1A1A1A"/>
                <w:sz w:val="18"/>
                <w:szCs w:val="18"/>
              </w:rPr>
              <w:t xml:space="preserve">Generated macro scripts need to be tested across PowerMill versions in use at partner shops.</w:t>
            </w:r>
          </w:p>
        </w:tc>
        <w:tc>
          <w:tcPr>
            <w:tcW w:type="dxa" w:w="3280"/>
            <w:tcBorders>
              <w:top w:val="single" w:color="BDD6EE" w:sz="1"/>
              <w:left w:val="single" w:color="BDD6EE" w:sz="1"/>
              <w:bottom w:val="single" w:color="BDD6EE" w:sz="1"/>
              <w:right w:val="single" w:color="BDD6EE" w:sz="1"/>
            </w:tcBorders>
            <w:shd w:fill="FFFFFF" w:val="clear"/>
            <w:tcMar>
              <w:top w:type="dxa" w:w="90"/>
              <w:left w:type="dxa" w:w="150"/>
              <w:bottom w:type="dxa" w:w="90"/>
              <w:right w:type="dxa" w:w="150"/>
            </w:tcMar>
          </w:tcPr>
          <w:p>
            <w:pPr>
              <w:jc w:val="left"/>
            </w:pPr>
            <w:r>
              <w:rPr>
                <w:rFonts w:ascii="Arial" w:cs="Arial" w:eastAsia="Arial" w:hAnsi="Arial"/>
                <w:b w:val="false"/>
                <w:bCs w:val="false"/>
                <w:color w:val="1A1A1A"/>
                <w:sz w:val="18"/>
                <w:szCs w:val="18"/>
              </w:rPr>
              <w:t xml:space="preserve">Build a version detection routine in the plug-in at startup. Maintain a compatibility matrix. Test on PM2022, PM2023, PM2024, PM2025 before each release.</w:t>
            </w:r>
          </w:p>
        </w:tc>
      </w:tr>
      <w:tr>
        <w:tc>
          <w:tcPr>
            <w:tcW w:type="dxa" w:w="2800"/>
            <w:tcBorders>
              <w:top w:val="single" w:color="BDD6EE" w:sz="1"/>
              <w:left w:val="single" w:color="BDD6EE" w:sz="1"/>
              <w:bottom w:val="single" w:color="BDD6EE" w:sz="1"/>
              <w:right w:val="single" w:color="BDD6EE" w:sz="1"/>
            </w:tcBorders>
            <w:shd w:fill="F0F7FD" w:val="clear"/>
            <w:tcMar>
              <w:top w:type="dxa" w:w="90"/>
              <w:left w:type="dxa" w:w="150"/>
              <w:bottom w:type="dxa" w:w="90"/>
              <w:right w:type="dxa" w:w="150"/>
            </w:tcMar>
          </w:tcPr>
          <w:p>
            <w:pPr>
              <w:jc w:val="left"/>
            </w:pPr>
            <w:r>
              <w:rPr>
                <w:rFonts w:ascii="Arial" w:cs="Arial" w:eastAsia="Arial" w:hAnsi="Arial"/>
                <w:b w:val="false"/>
                <w:bCs w:val="false"/>
                <w:color w:val="1A1A1A"/>
                <w:sz w:val="18"/>
                <w:szCs w:val="18"/>
              </w:rPr>
              <w:t xml:space="preserve">No native AI or geometry recognition in the API. Feature detection must be done externally.</w:t>
            </w:r>
          </w:p>
        </w:tc>
        <w:tc>
          <w:tcPr>
            <w:tcW w:type="dxa" w:w="3280"/>
            <w:tcBorders>
              <w:top w:val="single" w:color="BDD6EE" w:sz="1"/>
              <w:left w:val="single" w:color="BDD6EE" w:sz="1"/>
              <w:bottom w:val="single" w:color="BDD6EE" w:sz="1"/>
              <w:right w:val="single" w:color="BDD6EE" w:sz="1"/>
            </w:tcBorders>
            <w:shd w:fill="F0F7FD" w:val="clear"/>
            <w:tcMar>
              <w:top w:type="dxa" w:w="90"/>
              <w:left w:type="dxa" w:w="150"/>
              <w:bottom w:type="dxa" w:w="90"/>
              <w:right w:type="dxa" w:w="150"/>
            </w:tcMar>
          </w:tcPr>
          <w:p>
            <w:pPr>
              <w:jc w:val="left"/>
            </w:pPr>
            <w:r>
              <w:rPr>
                <w:rFonts w:ascii="Arial" w:cs="Arial" w:eastAsia="Arial" w:hAnsi="Arial"/>
                <w:b w:val="false"/>
                <w:bCs w:val="false"/>
                <w:color w:val="1A1A1A"/>
                <w:sz w:val="18"/>
                <w:szCs w:val="18"/>
              </w:rPr>
              <w:t xml:space="preserve">We cannot call a built-in feature recognition function — we must do all AFR on our end.</w:t>
            </w:r>
          </w:p>
        </w:tc>
        <w:tc>
          <w:tcPr>
            <w:tcW w:type="dxa" w:w="3280"/>
            <w:tcBorders>
              <w:top w:val="single" w:color="BDD6EE" w:sz="1"/>
              <w:left w:val="single" w:color="BDD6EE" w:sz="1"/>
              <w:bottom w:val="single" w:color="BDD6EE" w:sz="1"/>
              <w:right w:val="single" w:color="BDD6EE" w:sz="1"/>
            </w:tcBorders>
            <w:shd w:fill="F0F7FD" w:val="clear"/>
            <w:tcMar>
              <w:top w:type="dxa" w:w="90"/>
              <w:left w:type="dxa" w:w="150"/>
              <w:bottom w:type="dxa" w:w="90"/>
              <w:right w:type="dxa" w:w="150"/>
            </w:tcMar>
          </w:tcPr>
          <w:p>
            <w:pPr>
              <w:jc w:val="left"/>
            </w:pPr>
            <w:r>
              <w:rPr>
                <w:rFonts w:ascii="Arial" w:cs="Arial" w:eastAsia="Arial" w:hAnsi="Arial"/>
                <w:b w:val="false"/>
                <w:bCs w:val="false"/>
                <w:color w:val="1A1A1A"/>
                <w:sz w:val="18"/>
                <w:szCs w:val="18"/>
              </w:rPr>
              <w:t xml:space="preserve">This is actually an advantage: we own the AFR IP. The limitation does not block us, it defines our competitive moat.</w:t>
            </w:r>
          </w:p>
        </w:tc>
      </w:tr>
      <w:tr>
        <w:tc>
          <w:tcPr>
            <w:tcW w:type="dxa" w:w="2800"/>
            <w:tcBorders>
              <w:top w:val="single" w:color="BDD6EE" w:sz="1"/>
              <w:left w:val="single" w:color="BDD6EE" w:sz="1"/>
              <w:bottom w:val="single" w:color="BDD6EE" w:sz="1"/>
              <w:right w:val="single" w:color="BDD6EE" w:sz="1"/>
            </w:tcBorders>
            <w:shd w:fill="FFFFFF" w:val="clear"/>
            <w:tcMar>
              <w:top w:type="dxa" w:w="90"/>
              <w:left w:type="dxa" w:w="150"/>
              <w:bottom w:type="dxa" w:w="90"/>
              <w:right w:type="dxa" w:w="150"/>
            </w:tcMar>
          </w:tcPr>
          <w:p>
            <w:pPr>
              <w:jc w:val="left"/>
            </w:pPr>
            <w:r>
              <w:rPr>
                <w:rFonts w:ascii="Arial" w:cs="Arial" w:eastAsia="Arial" w:hAnsi="Arial"/>
                <w:b w:val="false"/>
                <w:bCs w:val="false"/>
                <w:color w:val="1A1A1A"/>
                <w:sz w:val="18"/>
                <w:szCs w:val="18"/>
              </w:rPr>
              <w:t xml:space="preserve">Toolpath template (.ptf) import is the primary injection mechanism. Full parameter override via ExecuteEx() is limited for some advanced strategies.</w:t>
            </w:r>
          </w:p>
        </w:tc>
        <w:tc>
          <w:tcPr>
            <w:tcW w:type="dxa" w:w="3280"/>
            <w:tcBorders>
              <w:top w:val="single" w:color="BDD6EE" w:sz="1"/>
              <w:left w:val="single" w:color="BDD6EE" w:sz="1"/>
              <w:bottom w:val="single" w:color="BDD6EE" w:sz="1"/>
              <w:right w:val="single" w:color="BDD6EE" w:sz="1"/>
            </w:tcBorders>
            <w:shd w:fill="FFFFFF" w:val="clear"/>
            <w:tcMar>
              <w:top w:type="dxa" w:w="90"/>
              <w:left w:type="dxa" w:w="150"/>
              <w:bottom w:type="dxa" w:w="90"/>
              <w:right w:type="dxa" w:w="150"/>
            </w:tcMar>
          </w:tcPr>
          <w:p>
            <w:pPr>
              <w:jc w:val="left"/>
            </w:pPr>
            <w:r>
              <w:rPr>
                <w:rFonts w:ascii="Arial" w:cs="Arial" w:eastAsia="Arial" w:hAnsi="Arial"/>
                <w:b w:val="false"/>
                <w:bCs w:val="false"/>
                <w:color w:val="1A1A1A"/>
                <w:sz w:val="18"/>
                <w:szCs w:val="18"/>
              </w:rPr>
              <w:t xml:space="preserve">Some complex 5-axis strategies may not accept all parameter overrides via macro. A pre-built library of .ptf templates may be necessary.</w:t>
            </w:r>
          </w:p>
        </w:tc>
        <w:tc>
          <w:tcPr>
            <w:tcW w:type="dxa" w:w="3280"/>
            <w:tcBorders>
              <w:top w:val="single" w:color="BDD6EE" w:sz="1"/>
              <w:left w:val="single" w:color="BDD6EE" w:sz="1"/>
              <w:bottom w:val="single" w:color="BDD6EE" w:sz="1"/>
              <w:right w:val="single" w:color="BDD6EE" w:sz="1"/>
            </w:tcBorders>
            <w:shd w:fill="FFFFFF" w:val="clear"/>
            <w:tcMar>
              <w:top w:type="dxa" w:w="90"/>
              <w:left w:type="dxa" w:w="150"/>
              <w:bottom w:type="dxa" w:w="90"/>
              <w:right w:type="dxa" w:w="150"/>
            </w:tcMar>
          </w:tcPr>
          <w:p>
            <w:pPr>
              <w:jc w:val="left"/>
            </w:pPr>
            <w:r>
              <w:rPr>
                <w:rFonts w:ascii="Arial" w:cs="Arial" w:eastAsia="Arial" w:hAnsi="Arial"/>
                <w:b w:val="false"/>
                <w:bCs w:val="false"/>
                <w:color w:val="1A1A1A"/>
                <w:sz w:val="18"/>
                <w:szCs w:val="18"/>
              </w:rPr>
              <w:t xml:space="preserve">In Phase 1, build a library of 15–20 .ptf toolpath templates covering our core prismatic operations. Use ExecuteEx() for feeds/speeds/tolerance. Defer complex 5-axis parameter injection to Phase 3.</w:t>
            </w:r>
          </w:p>
        </w:tc>
      </w:tr>
    </w:tbl>
    <w:p>
      <w:r>
        <w:rPr>
          <w:sz w:val="18"/>
          <w:szCs w:val="18"/>
        </w:rPr>
        <w:t xml:space="preserve"/>
      </w:r>
    </w:p>
    <w:p>
      <w:pPr>
        <w:pStyle w:val="Heading1"/>
        <w:pBdr>
          <w:bottom w:val="single" w:color="2E75B6" w:sz="8" w:space="8"/>
        </w:pBdr>
        <w:spacing w:before="400" w:after="100"/>
      </w:pPr>
      <w:r>
        <w:rPr>
          <w:rFonts w:ascii="Arial" w:cs="Arial" w:eastAsia="Arial" w:hAnsi="Arial"/>
          <w:b/>
          <w:bCs/>
          <w:color w:val="0D2137"/>
          <w:sz w:val="34"/>
          <w:szCs w:val="34"/>
        </w:rPr>
        <w:t xml:space="preserve">5. Revised Phase 1 Development Plan — PowerMill Integration</w:t>
      </w:r>
    </w:p>
    <w:p>
      <w:pPr>
        <w:spacing w:before="60" w:after="60"/>
      </w:pPr>
      <w:r>
        <w:rPr>
          <w:rFonts w:ascii="Arial" w:cs="Arial" w:eastAsia="Arial" w:hAnsi="Arial"/>
          <w:sz w:val="20"/>
          <w:szCs w:val="20"/>
        </w:rPr>
        <w:t xml:space="preserve">The original 6-month roadmap structure (Phases 1–4 by month) remains valid. The changes required to switch from Fusion to PowerMill as the Phase 1 platform are less significant than they might appear. The AI engine, cloud API, physics models, and feature recognition architecture are entirely platform-agnostic. Only the integration layer (Layer 1 in the original architecture) changes.</w:t>
      </w:r>
    </w:p>
    <w:p>
      <w:r>
        <w:rPr>
          <w:sz w:val="18"/>
          <w:szCs w:val="18"/>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DD6EE" w:sz="1"/>
              <w:left w:val="single" w:color="BDD6EE" w:sz="1"/>
              <w:bottom w:val="single" w:color="BDD6EE" w:sz="1"/>
              <w:right w:val="single" w:color="BDD6EE" w:sz="1"/>
            </w:tcBorders>
            <w:shd w:fill="E8F5EC" w:val="clear"/>
            <w:tcMar>
              <w:top w:type="dxa" w:w="130"/>
              <w:left w:type="dxa" w:w="220"/>
              <w:bottom w:type="dxa" w:w="130"/>
              <w:right w:type="dxa" w:w="220"/>
            </w:tcMar>
          </w:tcPr>
          <w:p>
            <w:pPr>
              <w:spacing w:after="60"/>
            </w:pPr>
            <w:r>
              <w:rPr>
                <w:rFonts w:ascii="Arial" w:cs="Arial" w:eastAsia="Arial" w:hAnsi="Arial"/>
                <w:b/>
                <w:bCs/>
                <w:color w:val="1B6B2F"/>
                <w:sz w:val="22"/>
                <w:szCs w:val="22"/>
              </w:rPr>
              <w:t xml:space="preserve">✓  What Stays Identical</w:t>
            </w:r>
          </w:p>
          <w:p>
            <w:r>
              <w:rPr>
                <w:rFonts w:ascii="Arial" w:cs="Arial" w:eastAsia="Arial" w:hAnsi="Arial"/>
                <w:color w:val="1B6B2F"/>
                <w:sz w:val="19"/>
                <w:szCs w:val="19"/>
              </w:rPr>
              <w:t xml:space="preserve">Synthetic dataset generation (pythonOCC), AFR model training (PyTorch Geometric), physics engine (C++ mechanistic force model), cloud API (FastAPI on AWS), cutting parameter optimization (SciPy), digital twin simulation — none of these are PowerMill-specific. The same AI/ML stack built for Fusion works unchanged for PowerMill. Only the plug-in client changes.</w:t>
            </w:r>
          </w:p>
        </w:tc>
      </w:tr>
    </w:tbl>
    <w:p>
      <w:r>
        <w:rPr>
          <w:sz w:val="18"/>
          <w:szCs w:val="18"/>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DD6EE" w:sz="1"/>
              <w:left w:val="single" w:color="BDD6EE" w:sz="1"/>
              <w:bottom w:val="single" w:color="BDD6EE" w:sz="1"/>
              <w:right w:val="single" w:color="BDD6EE" w:sz="1"/>
            </w:tcBorders>
            <w:shd w:fill="FFF3E0" w:val="clear"/>
            <w:tcMar>
              <w:top w:type="dxa" w:w="130"/>
              <w:left w:type="dxa" w:w="220"/>
              <w:bottom w:type="dxa" w:w="130"/>
              <w:right w:type="dxa" w:w="220"/>
            </w:tcMar>
          </w:tcPr>
          <w:p>
            <w:pPr>
              <w:spacing w:after="60"/>
            </w:pPr>
            <w:r>
              <w:rPr>
                <w:rFonts w:ascii="Arial" w:cs="Arial" w:eastAsia="Arial" w:hAnsi="Arial"/>
                <w:b/>
                <w:bCs/>
                <w:color w:val="7B4B0E"/>
                <w:sz w:val="22"/>
                <w:szCs w:val="22"/>
              </w:rPr>
              <w:t xml:space="preserve">△  What Changes</w:t>
            </w:r>
          </w:p>
          <w:p>
            <w:r>
              <w:rPr>
                <w:rFonts w:ascii="Arial" w:cs="Arial" w:eastAsia="Arial" w:hAnsi="Arial"/>
                <w:color w:val="7B4B0E"/>
                <w:sz w:val="19"/>
                <w:szCs w:val="19"/>
              </w:rPr>
              <w:t xml:space="preserve">The client plug-in language changes from Python to C# (.NET). The result injection mechanism changes from Fusion operation objects to PowerMill macro commands + .ptf template imports. The UI panel uses WPF/XAML instead of Fusion's JavaScript/HTML panel. Timeline impact: approximately +2 weeks to Month 1 (C# environment setup and COM binding generation) offset by -2 weeks in Month 4 (no complex Fusion API debugging). Net impact: neutral.</w:t>
            </w:r>
          </w:p>
        </w:tc>
      </w:tr>
    </w:tbl>
    <w:p>
      <w:r>
        <w:rPr>
          <w:sz w:val="18"/>
          <w:szCs w:val="18"/>
        </w:rPr>
        <w:t xml:space="preserve"/>
      </w:r>
    </w:p>
    <w:p>
      <w:pPr>
        <w:pStyle w:val="Heading2"/>
        <w:spacing w:before="260" w:after="80"/>
      </w:pPr>
      <w:r>
        <w:rPr>
          <w:rFonts w:ascii="Arial" w:cs="Arial" w:eastAsia="Arial" w:hAnsi="Arial"/>
          <w:b/>
          <w:bCs/>
          <w:color w:val="2E75B6"/>
          <w:sz w:val="26"/>
          <w:szCs w:val="26"/>
        </w:rPr>
        <w:t xml:space="preserve">5.1 Revised Month-by-Month Timeline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2200"/>
        <w:gridCol w:w="6160"/>
      </w:tblGrid>
      <w:tr>
        <w:tc>
          <w:tcPr>
            <w:tcW w:type="dxa" w:w="1000"/>
            <w:tcBorders>
              <w:top w:val="single" w:color="BDD6EE" w:sz="1"/>
              <w:left w:val="single" w:color="BDD6EE" w:sz="1"/>
              <w:bottom w:val="single" w:color="BDD6EE" w:sz="1"/>
              <w:right w:val="single" w:color="BDD6EE" w:sz="1"/>
            </w:tcBorders>
            <w:shd w:fill="0D2137" w:val="clear"/>
            <w:tcMar>
              <w:top w:type="dxa" w:w="90"/>
              <w:left w:type="dxa" w:w="150"/>
              <w:bottom w:type="dxa" w:w="90"/>
              <w:right w:type="dxa" w:w="150"/>
            </w:tcMar>
          </w:tcPr>
          <w:p>
            <w:pPr>
              <w:jc w:val="left"/>
            </w:pPr>
            <w:r>
              <w:rPr>
                <w:rFonts w:ascii="Arial" w:cs="Arial" w:eastAsia="Arial" w:hAnsi="Arial"/>
                <w:b/>
                <w:bCs/>
                <w:color w:val="FFFFFF"/>
                <w:sz w:val="18"/>
                <w:szCs w:val="18"/>
              </w:rPr>
              <w:t xml:space="preserve">Week</w:t>
            </w:r>
          </w:p>
        </w:tc>
        <w:tc>
          <w:tcPr>
            <w:tcW w:type="dxa" w:w="2200"/>
            <w:tcBorders>
              <w:top w:val="single" w:color="BDD6EE" w:sz="1"/>
              <w:left w:val="single" w:color="BDD6EE" w:sz="1"/>
              <w:bottom w:val="single" w:color="BDD6EE" w:sz="1"/>
              <w:right w:val="single" w:color="BDD6EE" w:sz="1"/>
            </w:tcBorders>
            <w:shd w:fill="0D2137" w:val="clear"/>
            <w:tcMar>
              <w:top w:type="dxa" w:w="90"/>
              <w:left w:type="dxa" w:w="150"/>
              <w:bottom w:type="dxa" w:w="90"/>
              <w:right w:type="dxa" w:w="150"/>
            </w:tcMar>
          </w:tcPr>
          <w:p>
            <w:pPr>
              <w:jc w:val="left"/>
            </w:pPr>
            <w:r>
              <w:rPr>
                <w:rFonts w:ascii="Arial" w:cs="Arial" w:eastAsia="Arial" w:hAnsi="Arial"/>
                <w:b/>
                <w:bCs/>
                <w:color w:val="FFFFFF"/>
                <w:sz w:val="18"/>
                <w:szCs w:val="18"/>
              </w:rPr>
              <w:t xml:space="preserve">Focus</w:t>
            </w:r>
          </w:p>
        </w:tc>
        <w:tc>
          <w:tcPr>
            <w:tcW w:type="dxa" w:w="6160"/>
            <w:tcBorders>
              <w:top w:val="single" w:color="BDD6EE" w:sz="1"/>
              <w:left w:val="single" w:color="BDD6EE" w:sz="1"/>
              <w:bottom w:val="single" w:color="BDD6EE" w:sz="1"/>
              <w:right w:val="single" w:color="BDD6EE" w:sz="1"/>
            </w:tcBorders>
            <w:shd w:fill="0D2137" w:val="clear"/>
            <w:tcMar>
              <w:top w:type="dxa" w:w="90"/>
              <w:left w:type="dxa" w:w="150"/>
              <w:bottom w:type="dxa" w:w="90"/>
              <w:right w:type="dxa" w:w="150"/>
            </w:tcMar>
          </w:tcPr>
          <w:p>
            <w:pPr>
              <w:jc w:val="left"/>
            </w:pPr>
            <w:r>
              <w:rPr>
                <w:rFonts w:ascii="Arial" w:cs="Arial" w:eastAsia="Arial" w:hAnsi="Arial"/>
                <w:b/>
                <w:bCs/>
                <w:color w:val="FFFFFF"/>
                <w:sz w:val="18"/>
                <w:szCs w:val="18"/>
              </w:rPr>
              <w:t xml:space="preserve">Deliverable / Goal</w:t>
            </w:r>
          </w:p>
        </w:tc>
      </w:tr>
      <w:tr>
        <w:tc>
          <w:tcPr>
            <w:tcW w:type="dxa" w:w="1000"/>
            <w:tcBorders>
              <w:top w:val="single" w:color="BDD6EE" w:sz="1"/>
              <w:left w:val="single" w:color="BDD6EE" w:sz="1"/>
              <w:bottom w:val="single" w:color="BDD6EE" w:sz="1"/>
              <w:right w:val="single" w:color="BDD6EE" w:sz="1"/>
            </w:tcBorders>
            <w:shd w:fill="F0F7FD" w:val="clear"/>
            <w:tcMar>
              <w:top w:type="dxa" w:w="90"/>
              <w:left w:type="dxa" w:w="150"/>
              <w:bottom w:type="dxa" w:w="90"/>
              <w:right w:type="dxa" w:w="150"/>
            </w:tcMar>
          </w:tcPr>
          <w:p>
            <w:pPr>
              <w:jc w:val="left"/>
            </w:pPr>
            <w:r>
              <w:rPr>
                <w:rFonts w:ascii="Arial" w:cs="Arial" w:eastAsia="Arial" w:hAnsi="Arial"/>
                <w:b w:val="false"/>
                <w:bCs w:val="false"/>
                <w:color w:val="1A1A1A"/>
                <w:sz w:val="18"/>
                <w:szCs w:val="18"/>
              </w:rPr>
              <w:t xml:space="preserve">1</w:t>
            </w:r>
          </w:p>
        </w:tc>
        <w:tc>
          <w:tcPr>
            <w:tcW w:type="dxa" w:w="2200"/>
            <w:tcBorders>
              <w:top w:val="single" w:color="BDD6EE" w:sz="1"/>
              <w:left w:val="single" w:color="BDD6EE" w:sz="1"/>
              <w:bottom w:val="single" w:color="BDD6EE" w:sz="1"/>
              <w:right w:val="single" w:color="BDD6EE" w:sz="1"/>
            </w:tcBorders>
            <w:shd w:fill="F0F7FD" w:val="clear"/>
            <w:tcMar>
              <w:top w:type="dxa" w:w="90"/>
              <w:left w:type="dxa" w:w="150"/>
              <w:bottom w:type="dxa" w:w="90"/>
              <w:right w:type="dxa" w:w="150"/>
            </w:tcMar>
          </w:tcPr>
          <w:p>
            <w:pPr>
              <w:jc w:val="left"/>
            </w:pPr>
            <w:r>
              <w:rPr>
                <w:rFonts w:ascii="Arial" w:cs="Arial" w:eastAsia="Arial" w:hAnsi="Arial"/>
                <w:b w:val="false"/>
                <w:bCs w:val="false"/>
                <w:color w:val="1A1A1A"/>
                <w:sz w:val="18"/>
                <w:szCs w:val="18"/>
              </w:rPr>
              <w:t xml:space="preserve">Infrastructure + PowerMill plug-in scaffold</w:t>
            </w:r>
          </w:p>
        </w:tc>
        <w:tc>
          <w:tcPr>
            <w:tcW w:type="dxa" w:w="6160"/>
            <w:tcBorders>
              <w:top w:val="single" w:color="BDD6EE" w:sz="1"/>
              <w:left w:val="single" w:color="BDD6EE" w:sz="1"/>
              <w:bottom w:val="single" w:color="BDD6EE" w:sz="1"/>
              <w:right w:val="single" w:color="BDD6EE" w:sz="1"/>
            </w:tcBorders>
            <w:shd w:fill="F0F7FD" w:val="clear"/>
            <w:tcMar>
              <w:top w:type="dxa" w:w="90"/>
              <w:left w:type="dxa" w:w="150"/>
              <w:bottom w:type="dxa" w:w="90"/>
              <w:right w:type="dxa" w:w="150"/>
            </w:tcMar>
          </w:tcPr>
          <w:p>
            <w:pPr>
              <w:jc w:val="left"/>
            </w:pPr>
            <w:r>
              <w:rPr>
                <w:rFonts w:ascii="Arial" w:cs="Arial" w:eastAsia="Arial" w:hAnsi="Arial"/>
                <w:b w:val="false"/>
                <w:bCs w:val="false"/>
                <w:color w:val="1A1A1A"/>
                <w:sz w:val="18"/>
                <w:szCs w:val="18"/>
              </w:rPr>
              <w:t xml:space="preserve">C# Visual Studio project created; PowerMill.dll generated from PM2024; COM connection established; plug-in appears in PowerMill Plugin Manager; side panel visible with 'Hello World'. AWS API live with /health endpoint.</w:t>
            </w:r>
          </w:p>
        </w:tc>
      </w:tr>
      <w:tr>
        <w:tc>
          <w:tcPr>
            <w:tcW w:type="dxa" w:w="1000"/>
            <w:tcBorders>
              <w:top w:val="single" w:color="BDD6EE" w:sz="1"/>
              <w:left w:val="single" w:color="BDD6EE" w:sz="1"/>
              <w:bottom w:val="single" w:color="BDD6EE" w:sz="1"/>
              <w:right w:val="single" w:color="BDD6EE" w:sz="1"/>
            </w:tcBorders>
            <w:shd w:fill="FFFFFF" w:val="clear"/>
            <w:tcMar>
              <w:top w:type="dxa" w:w="90"/>
              <w:left w:type="dxa" w:w="150"/>
              <w:bottom w:type="dxa" w:w="90"/>
              <w:right w:type="dxa" w:w="150"/>
            </w:tcMar>
          </w:tcPr>
          <w:p>
            <w:pPr>
              <w:jc w:val="left"/>
            </w:pPr>
            <w:r>
              <w:rPr>
                <w:rFonts w:ascii="Arial" w:cs="Arial" w:eastAsia="Arial" w:hAnsi="Arial"/>
                <w:b w:val="false"/>
                <w:bCs w:val="false"/>
                <w:color w:val="1A1A1A"/>
                <w:sz w:val="18"/>
                <w:szCs w:val="18"/>
              </w:rPr>
              <w:t xml:space="preserve">2</w:t>
            </w:r>
          </w:p>
        </w:tc>
        <w:tc>
          <w:tcPr>
            <w:tcW w:type="dxa" w:w="2200"/>
            <w:tcBorders>
              <w:top w:val="single" w:color="BDD6EE" w:sz="1"/>
              <w:left w:val="single" w:color="BDD6EE" w:sz="1"/>
              <w:bottom w:val="single" w:color="BDD6EE" w:sz="1"/>
              <w:right w:val="single" w:color="BDD6EE" w:sz="1"/>
            </w:tcBorders>
            <w:shd w:fill="FFFFFF" w:val="clear"/>
            <w:tcMar>
              <w:top w:type="dxa" w:w="90"/>
              <w:left w:type="dxa" w:w="150"/>
              <w:bottom w:type="dxa" w:w="90"/>
              <w:right w:type="dxa" w:w="150"/>
            </w:tcMar>
          </w:tcPr>
          <w:p>
            <w:pPr>
              <w:jc w:val="left"/>
            </w:pPr>
            <w:r>
              <w:rPr>
                <w:rFonts w:ascii="Arial" w:cs="Arial" w:eastAsia="Arial" w:hAnsi="Arial"/>
                <w:b w:val="false"/>
                <w:bCs w:val="false"/>
                <w:color w:val="1A1A1A"/>
                <w:sz w:val="18"/>
                <w:szCs w:val="18"/>
              </w:rPr>
              <w:t xml:space="preserve">Model extraction + AFR training</w:t>
            </w:r>
          </w:p>
        </w:tc>
        <w:tc>
          <w:tcPr>
            <w:tcW w:type="dxa" w:w="6160"/>
            <w:tcBorders>
              <w:top w:val="single" w:color="BDD6EE" w:sz="1"/>
              <w:left w:val="single" w:color="BDD6EE" w:sz="1"/>
              <w:bottom w:val="single" w:color="BDD6EE" w:sz="1"/>
              <w:right w:val="single" w:color="BDD6EE" w:sz="1"/>
            </w:tcBorders>
            <w:shd w:fill="FFFFFF" w:val="clear"/>
            <w:tcMar>
              <w:top w:type="dxa" w:w="90"/>
              <w:left w:type="dxa" w:w="150"/>
              <w:bottom w:type="dxa" w:w="90"/>
              <w:right w:type="dxa" w:w="150"/>
            </w:tcMar>
          </w:tcPr>
          <w:p>
            <w:pPr>
              <w:jc w:val="left"/>
            </w:pPr>
            <w:r>
              <w:rPr>
                <w:rFonts w:ascii="Arial" w:cs="Arial" w:eastAsia="Arial" w:hAnsi="Arial"/>
                <w:b w:val="false"/>
                <w:bCs w:val="false"/>
                <w:color w:val="1A1A1A"/>
                <w:sz w:val="18"/>
                <w:szCs w:val="18"/>
              </w:rPr>
              <w:t xml:space="preserve">Plug-in exports active model to STEP via macro; STEP sent to cloud API; GNN AFR model trained on 1,000 synthetic parts; /analyze endpoint returns feature JSON; feature names display in side panel.</w:t>
            </w:r>
          </w:p>
        </w:tc>
      </w:tr>
      <w:tr>
        <w:tc>
          <w:tcPr>
            <w:tcW w:type="dxa" w:w="1000"/>
            <w:tcBorders>
              <w:top w:val="single" w:color="BDD6EE" w:sz="1"/>
              <w:left w:val="single" w:color="BDD6EE" w:sz="1"/>
              <w:bottom w:val="single" w:color="BDD6EE" w:sz="1"/>
              <w:right w:val="single" w:color="BDD6EE" w:sz="1"/>
            </w:tcBorders>
            <w:shd w:fill="F0F7FD" w:val="clear"/>
            <w:tcMar>
              <w:top w:type="dxa" w:w="90"/>
              <w:left w:type="dxa" w:w="150"/>
              <w:bottom w:type="dxa" w:w="90"/>
              <w:right w:type="dxa" w:w="150"/>
            </w:tcMar>
          </w:tcPr>
          <w:p>
            <w:pPr>
              <w:jc w:val="left"/>
            </w:pPr>
            <w:r>
              <w:rPr>
                <w:rFonts w:ascii="Arial" w:cs="Arial" w:eastAsia="Arial" w:hAnsi="Arial"/>
                <w:b w:val="false"/>
                <w:bCs w:val="false"/>
                <w:color w:val="1A1A1A"/>
                <w:sz w:val="18"/>
                <w:szCs w:val="18"/>
              </w:rPr>
              <w:t xml:space="preserve">3</w:t>
            </w:r>
          </w:p>
        </w:tc>
        <w:tc>
          <w:tcPr>
            <w:tcW w:type="dxa" w:w="2200"/>
            <w:tcBorders>
              <w:top w:val="single" w:color="BDD6EE" w:sz="1"/>
              <w:left w:val="single" w:color="BDD6EE" w:sz="1"/>
              <w:bottom w:val="single" w:color="BDD6EE" w:sz="1"/>
              <w:right w:val="single" w:color="BDD6EE" w:sz="1"/>
            </w:tcBorders>
            <w:shd w:fill="F0F7FD" w:val="clear"/>
            <w:tcMar>
              <w:top w:type="dxa" w:w="90"/>
              <w:left w:type="dxa" w:w="150"/>
              <w:bottom w:type="dxa" w:w="90"/>
              <w:right w:type="dxa" w:w="150"/>
            </w:tcMar>
          </w:tcPr>
          <w:p>
            <w:pPr>
              <w:jc w:val="left"/>
            </w:pPr>
            <w:r>
              <w:rPr>
                <w:rFonts w:ascii="Arial" w:cs="Arial" w:eastAsia="Arial" w:hAnsi="Arial"/>
                <w:b w:val="false"/>
                <w:bCs w:val="false"/>
                <w:color w:val="1A1A1A"/>
                <w:sz w:val="18"/>
                <w:szCs w:val="18"/>
              </w:rPr>
              <w:t xml:space="preserve">Physics engine + cutting parameters</w:t>
            </w:r>
          </w:p>
        </w:tc>
        <w:tc>
          <w:tcPr>
            <w:tcW w:type="dxa" w:w="6160"/>
            <w:tcBorders>
              <w:top w:val="single" w:color="BDD6EE" w:sz="1"/>
              <w:left w:val="single" w:color="BDD6EE" w:sz="1"/>
              <w:bottom w:val="single" w:color="BDD6EE" w:sz="1"/>
              <w:right w:val="single" w:color="BDD6EE" w:sz="1"/>
            </w:tcBorders>
            <w:shd w:fill="F0F7FD" w:val="clear"/>
            <w:tcMar>
              <w:top w:type="dxa" w:w="90"/>
              <w:left w:type="dxa" w:w="150"/>
              <w:bottom w:type="dxa" w:w="90"/>
              <w:right w:type="dxa" w:w="150"/>
            </w:tcMar>
          </w:tcPr>
          <w:p>
            <w:pPr>
              <w:jc w:val="left"/>
            </w:pPr>
            <w:r>
              <w:rPr>
                <w:rFonts w:ascii="Arial" w:cs="Arial" w:eastAsia="Arial" w:hAnsi="Arial"/>
                <w:b w:val="false"/>
                <w:bCs w:val="false"/>
                <w:color w:val="1A1A1A"/>
                <w:sz w:val="18"/>
                <w:szCs w:val="18"/>
              </w:rPr>
              <w:t xml:space="preserve">C++ mechanistic force model computing feeds/speeds for aluminum + mild steel; /parameters endpoint live; tool library import from PowerMill session (tool names, diameters, flutes); parameter output displayed in panel.</w:t>
            </w:r>
          </w:p>
        </w:tc>
      </w:tr>
      <w:tr>
        <w:tc>
          <w:tcPr>
            <w:tcW w:type="dxa" w:w="1000"/>
            <w:tcBorders>
              <w:top w:val="single" w:color="BDD6EE" w:sz="1"/>
              <w:left w:val="single" w:color="BDD6EE" w:sz="1"/>
              <w:bottom w:val="single" w:color="BDD6EE" w:sz="1"/>
              <w:right w:val="single" w:color="BDD6EE" w:sz="1"/>
            </w:tcBorders>
            <w:shd w:fill="FFFFFF" w:val="clear"/>
            <w:tcMar>
              <w:top w:type="dxa" w:w="90"/>
              <w:left w:type="dxa" w:w="150"/>
              <w:bottom w:type="dxa" w:w="90"/>
              <w:right w:type="dxa" w:w="150"/>
            </w:tcMar>
          </w:tcPr>
          <w:p>
            <w:pPr>
              <w:jc w:val="left"/>
            </w:pPr>
            <w:r>
              <w:rPr>
                <w:rFonts w:ascii="Arial" w:cs="Arial" w:eastAsia="Arial" w:hAnsi="Arial"/>
                <w:b w:val="false"/>
                <w:bCs w:val="false"/>
                <w:color w:val="1A1A1A"/>
                <w:sz w:val="18"/>
                <w:szCs w:val="18"/>
              </w:rPr>
              <w:t xml:space="preserve">4</w:t>
            </w:r>
          </w:p>
        </w:tc>
        <w:tc>
          <w:tcPr>
            <w:tcW w:type="dxa" w:w="2200"/>
            <w:tcBorders>
              <w:top w:val="single" w:color="BDD6EE" w:sz="1"/>
              <w:left w:val="single" w:color="BDD6EE" w:sz="1"/>
              <w:bottom w:val="single" w:color="BDD6EE" w:sz="1"/>
              <w:right w:val="single" w:color="BDD6EE" w:sz="1"/>
            </w:tcBorders>
            <w:shd w:fill="FFFFFF" w:val="clear"/>
            <w:tcMar>
              <w:top w:type="dxa" w:w="90"/>
              <w:left w:type="dxa" w:w="150"/>
              <w:bottom w:type="dxa" w:w="90"/>
              <w:right w:type="dxa" w:w="150"/>
            </w:tcMar>
          </w:tcPr>
          <w:p>
            <w:pPr>
              <w:jc w:val="left"/>
            </w:pPr>
            <w:r>
              <w:rPr>
                <w:rFonts w:ascii="Arial" w:cs="Arial" w:eastAsia="Arial" w:hAnsi="Arial"/>
                <w:b w:val="false"/>
                <w:bCs w:val="false"/>
                <w:color w:val="1A1A1A"/>
                <w:sz w:val="18"/>
                <w:szCs w:val="18"/>
              </w:rPr>
              <w:t xml:space="preserve">Macro injection + end-to-end demo</w:t>
            </w:r>
          </w:p>
        </w:tc>
        <w:tc>
          <w:tcPr>
            <w:tcW w:type="dxa" w:w="6160"/>
            <w:tcBorders>
              <w:top w:val="single" w:color="BDD6EE" w:sz="1"/>
              <w:left w:val="single" w:color="BDD6EE" w:sz="1"/>
              <w:bottom w:val="single" w:color="BDD6EE" w:sz="1"/>
              <w:right w:val="single" w:color="BDD6EE" w:sz="1"/>
            </w:tcBorders>
            <w:shd w:fill="FFFFFF" w:val="clear"/>
            <w:tcMar>
              <w:top w:type="dxa" w:w="90"/>
              <w:left w:type="dxa" w:w="150"/>
              <w:bottom w:type="dxa" w:w="90"/>
              <w:right w:type="dxa" w:w="150"/>
            </w:tcMar>
          </w:tcPr>
          <w:p>
            <w:pPr>
              <w:jc w:val="left"/>
            </w:pPr>
            <w:r>
              <w:rPr>
                <w:rFonts w:ascii="Arial" w:cs="Arial" w:eastAsia="Arial" w:hAnsi="Arial"/>
                <w:b w:val="false"/>
                <w:bCs w:val="false"/>
                <w:color w:val="1A1A1A"/>
                <w:sz w:val="18"/>
                <w:szCs w:val="18"/>
              </w:rPr>
              <w:t xml:space="preserve">Plug-in generates macro string from AI JSON; macro executes in PowerMill session creating tools, boundaries, and toolpath stubs; EDIT TOOLPATH CALCULATE triggered; toolpaths appear in PowerMill project tree. Demo recorded.</w:t>
            </w:r>
          </w:p>
        </w:tc>
      </w:tr>
      <w:tr>
        <w:tc>
          <w:tcPr>
            <w:tcW w:type="dxa" w:w="1000"/>
            <w:tcBorders>
              <w:top w:val="single" w:color="BDD6EE" w:sz="1"/>
              <w:left w:val="single" w:color="BDD6EE" w:sz="1"/>
              <w:bottom w:val="single" w:color="BDD6EE" w:sz="1"/>
              <w:right w:val="single" w:color="BDD6EE" w:sz="1"/>
            </w:tcBorders>
            <w:shd w:fill="F0F7FD" w:val="clear"/>
            <w:tcMar>
              <w:top w:type="dxa" w:w="90"/>
              <w:left w:type="dxa" w:w="150"/>
              <w:bottom w:type="dxa" w:w="90"/>
              <w:right w:type="dxa" w:w="150"/>
            </w:tcMar>
          </w:tcPr>
          <w:p>
            <w:pPr>
              <w:jc w:val="left"/>
            </w:pPr>
            <w:r>
              <w:rPr>
                <w:rFonts w:ascii="Arial" w:cs="Arial" w:eastAsia="Arial" w:hAnsi="Arial"/>
                <w:b w:val="false"/>
                <w:bCs w:val="false"/>
                <w:color w:val="1A1A1A"/>
                <w:sz w:val="18"/>
                <w:szCs w:val="18"/>
              </w:rPr>
              <w:t xml:space="preserve">5</w:t>
            </w:r>
          </w:p>
        </w:tc>
        <w:tc>
          <w:tcPr>
            <w:tcW w:type="dxa" w:w="2200"/>
            <w:tcBorders>
              <w:top w:val="single" w:color="BDD6EE" w:sz="1"/>
              <w:left w:val="single" w:color="BDD6EE" w:sz="1"/>
              <w:bottom w:val="single" w:color="BDD6EE" w:sz="1"/>
              <w:right w:val="single" w:color="BDD6EE" w:sz="1"/>
            </w:tcBorders>
            <w:shd w:fill="F0F7FD" w:val="clear"/>
            <w:tcMar>
              <w:top w:type="dxa" w:w="90"/>
              <w:left w:type="dxa" w:w="150"/>
              <w:bottom w:type="dxa" w:w="90"/>
              <w:right w:type="dxa" w:w="150"/>
            </w:tcMar>
          </w:tcPr>
          <w:p>
            <w:pPr>
              <w:jc w:val="left"/>
            </w:pPr>
            <w:r>
              <w:rPr>
                <w:rFonts w:ascii="Arial" w:cs="Arial" w:eastAsia="Arial" w:hAnsi="Arial"/>
                <w:b w:val="false"/>
                <w:bCs w:val="false"/>
                <w:color w:val="1A1A1A"/>
                <w:sz w:val="18"/>
                <w:szCs w:val="18"/>
              </w:rPr>
              <w:t xml:space="preserve">Partner shop pilot</w:t>
            </w:r>
          </w:p>
        </w:tc>
        <w:tc>
          <w:tcPr>
            <w:tcW w:type="dxa" w:w="6160"/>
            <w:tcBorders>
              <w:top w:val="single" w:color="BDD6EE" w:sz="1"/>
              <w:left w:val="single" w:color="BDD6EE" w:sz="1"/>
              <w:bottom w:val="single" w:color="BDD6EE" w:sz="1"/>
              <w:right w:val="single" w:color="BDD6EE" w:sz="1"/>
            </w:tcBorders>
            <w:shd w:fill="F0F7FD" w:val="clear"/>
            <w:tcMar>
              <w:top w:type="dxa" w:w="90"/>
              <w:left w:type="dxa" w:w="150"/>
              <w:bottom w:type="dxa" w:w="90"/>
              <w:right w:type="dxa" w:w="150"/>
            </w:tcMar>
          </w:tcPr>
          <w:p>
            <w:pPr>
              <w:jc w:val="left"/>
            </w:pPr>
            <w:r>
              <w:rPr>
                <w:rFonts w:ascii="Arial" w:cs="Arial" w:eastAsia="Arial" w:hAnsi="Arial"/>
                <w:b w:val="false"/>
                <w:bCs w:val="false"/>
                <w:color w:val="1A1A1A"/>
                <w:sz w:val="18"/>
                <w:szCs w:val="18"/>
              </w:rPr>
              <w:t xml:space="preserve">Plug-in installed at pilot shop on their PowerMill workstation; 10 real production parts processed; structured feedback collected; AFR model retrained on real parts; parameters calibrated from actual machining results.</w:t>
            </w:r>
          </w:p>
        </w:tc>
      </w:tr>
      <w:tr>
        <w:tc>
          <w:tcPr>
            <w:tcW w:type="dxa" w:w="1000"/>
            <w:tcBorders>
              <w:top w:val="single" w:color="BDD6EE" w:sz="1"/>
              <w:left w:val="single" w:color="BDD6EE" w:sz="1"/>
              <w:bottom w:val="single" w:color="BDD6EE" w:sz="1"/>
              <w:right w:val="single" w:color="BDD6EE" w:sz="1"/>
            </w:tcBorders>
            <w:shd w:fill="FFFFFF" w:val="clear"/>
            <w:tcMar>
              <w:top w:type="dxa" w:w="90"/>
              <w:left w:type="dxa" w:w="150"/>
              <w:bottom w:type="dxa" w:w="90"/>
              <w:right w:type="dxa" w:w="150"/>
            </w:tcMar>
          </w:tcPr>
          <w:p>
            <w:pPr>
              <w:jc w:val="left"/>
            </w:pPr>
            <w:r>
              <w:rPr>
                <w:rFonts w:ascii="Arial" w:cs="Arial" w:eastAsia="Arial" w:hAnsi="Arial"/>
                <w:b w:val="false"/>
                <w:bCs w:val="false"/>
                <w:color w:val="1A1A1A"/>
                <w:sz w:val="18"/>
                <w:szCs w:val="18"/>
              </w:rPr>
              <w:t xml:space="preserve">6</w:t>
            </w:r>
          </w:p>
        </w:tc>
        <w:tc>
          <w:tcPr>
            <w:tcW w:type="dxa" w:w="2200"/>
            <w:tcBorders>
              <w:top w:val="single" w:color="BDD6EE" w:sz="1"/>
              <w:left w:val="single" w:color="BDD6EE" w:sz="1"/>
              <w:bottom w:val="single" w:color="BDD6EE" w:sz="1"/>
              <w:right w:val="single" w:color="BDD6EE" w:sz="1"/>
            </w:tcBorders>
            <w:shd w:fill="FFFFFF" w:val="clear"/>
            <w:tcMar>
              <w:top w:type="dxa" w:w="90"/>
              <w:left w:type="dxa" w:w="150"/>
              <w:bottom w:type="dxa" w:w="90"/>
              <w:right w:type="dxa" w:w="150"/>
            </w:tcMar>
          </w:tcPr>
          <w:p>
            <w:pPr>
              <w:jc w:val="left"/>
            </w:pPr>
            <w:r>
              <w:rPr>
                <w:rFonts w:ascii="Arial" w:cs="Arial" w:eastAsia="Arial" w:hAnsi="Arial"/>
                <w:b w:val="false"/>
                <w:bCs w:val="false"/>
                <w:color w:val="1A1A1A"/>
                <w:sz w:val="18"/>
                <w:szCs w:val="18"/>
              </w:rPr>
              <w:t xml:space="preserve">Benchmark + stabilization + Phase 2 planning</w:t>
            </w:r>
          </w:p>
        </w:tc>
        <w:tc>
          <w:tcPr>
            <w:tcW w:type="dxa" w:w="6160"/>
            <w:tcBorders>
              <w:top w:val="single" w:color="BDD6EE" w:sz="1"/>
              <w:left w:val="single" w:color="BDD6EE" w:sz="1"/>
              <w:bottom w:val="single" w:color="BDD6EE" w:sz="1"/>
              <w:right w:val="single" w:color="BDD6EE" w:sz="1"/>
            </w:tcBorders>
            <w:shd w:fill="FFFFFF" w:val="clear"/>
            <w:tcMar>
              <w:top w:type="dxa" w:w="90"/>
              <w:left w:type="dxa" w:w="150"/>
              <w:bottom w:type="dxa" w:w="90"/>
              <w:right w:type="dxa" w:w="150"/>
            </w:tcMar>
          </w:tcPr>
          <w:p>
            <w:pPr>
              <w:jc w:val="left"/>
            </w:pPr>
            <w:r>
              <w:rPr>
                <w:rFonts w:ascii="Arial" w:cs="Arial" w:eastAsia="Arial" w:hAnsi="Arial"/>
                <w:b w:val="false"/>
                <w:bCs w:val="false"/>
                <w:color w:val="1A1A1A"/>
                <w:sz w:val="18"/>
                <w:szCs w:val="18"/>
              </w:rPr>
              <w:t xml:space="preserve">Formal benchmark on 20 parts measuring programming time reduction (target ≥50%); version compatibility tested (PM2022/2023/2024/2025); documentation complete; Phase 2 spec covering NX and Mastercam written.</w:t>
            </w:r>
          </w:p>
        </w:tc>
      </w:tr>
    </w:tbl>
    <w:p>
      <w:r>
        <w:rPr>
          <w:sz w:val="18"/>
          <w:szCs w:val="18"/>
        </w:rPr>
        <w:t xml:space="preserve"/>
      </w:r>
    </w:p>
    <w:p>
      <w:pPr>
        <w:pStyle w:val="Heading2"/>
        <w:spacing w:before="260" w:after="80"/>
      </w:pPr>
      <w:r>
        <w:rPr>
          <w:rFonts w:ascii="Arial" w:cs="Arial" w:eastAsia="Arial" w:hAnsi="Arial"/>
          <w:b/>
          <w:bCs/>
          <w:color w:val="2E75B6"/>
          <w:sz w:val="26"/>
          <w:szCs w:val="26"/>
        </w:rPr>
        <w:t xml:space="preserve">5.2 Updated Technology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BDD6EE" w:sz="1"/>
              <w:left w:val="single" w:color="BDD6EE" w:sz="1"/>
              <w:bottom w:val="single" w:color="BDD6EE" w:sz="1"/>
              <w:right w:val="single" w:color="BDD6EE" w:sz="1"/>
            </w:tcBorders>
            <w:shd w:fill="F0F7FD" w:val="clear"/>
            <w:tcMar>
              <w:top w:type="dxa" w:w="90"/>
              <w:left w:type="dxa" w:w="150"/>
              <w:bottom w:type="dxa" w:w="90"/>
              <w:right w:type="dxa" w:w="150"/>
            </w:tcMar>
          </w:tcPr>
          <w:p>
            <w:pPr>
              <w:jc w:val="left"/>
            </w:pPr>
            <w:r>
              <w:rPr>
                <w:rFonts w:ascii="Arial" w:cs="Arial" w:eastAsia="Arial" w:hAnsi="Arial"/>
                <w:b/>
                <w:bCs/>
                <w:color w:val="1F4E79"/>
                <w:sz w:val="18"/>
                <w:szCs w:val="18"/>
              </w:rPr>
              <w:t xml:space="preserve">Plug-In Language</w:t>
            </w:r>
          </w:p>
        </w:tc>
        <w:tc>
          <w:tcPr>
            <w:tcW w:type="dxa" w:w="6760"/>
            <w:tcBorders>
              <w:top w:val="single" w:color="BDD6EE" w:sz="1"/>
              <w:left w:val="single" w:color="BDD6EE" w:sz="1"/>
              <w:bottom w:val="single" w:color="BDD6EE" w:sz="1"/>
              <w:right w:val="single" w:color="BDD6EE" w:sz="1"/>
            </w:tcBorders>
            <w:shd w:fill="F0F7FD" w:val="clear"/>
            <w:tcMar>
              <w:top w:type="dxa" w:w="90"/>
              <w:left w:type="dxa" w:w="150"/>
              <w:bottom w:type="dxa" w:w="90"/>
              <w:right w:type="dxa" w:w="150"/>
            </w:tcMar>
          </w:tcPr>
          <w:p>
            <w:pPr>
              <w:jc w:val="left"/>
            </w:pPr>
            <w:r>
              <w:rPr>
                <w:rFonts w:ascii="Arial" w:cs="Arial" w:eastAsia="Arial" w:hAnsi="Arial"/>
                <w:b w:val="false"/>
                <w:bCs w:val="false"/>
                <w:color w:val="1A1A1A"/>
                <w:sz w:val="18"/>
                <w:szCs w:val="18"/>
              </w:rPr>
              <w:t xml:space="preserve">C# (.NET Framework 4.8) — required for PowerMill COM API and PluginFramework</w:t>
            </w:r>
          </w:p>
        </w:tc>
      </w:tr>
      <w:tr>
        <w:tc>
          <w:tcPr>
            <w:tcW w:type="dxa" w:w="2600"/>
            <w:tcBorders>
              <w:top w:val="single" w:color="BDD6EE" w:sz="1"/>
              <w:left w:val="single" w:color="BDD6EE" w:sz="1"/>
              <w:bottom w:val="single" w:color="BDD6EE" w:sz="1"/>
              <w:right w:val="single" w:color="BDD6EE" w:sz="1"/>
            </w:tcBorders>
            <w:shd w:fill="FFFFFF" w:val="clear"/>
            <w:tcMar>
              <w:top w:type="dxa" w:w="90"/>
              <w:left w:type="dxa" w:w="150"/>
              <w:bottom w:type="dxa" w:w="90"/>
              <w:right w:type="dxa" w:w="150"/>
            </w:tcMar>
          </w:tcPr>
          <w:p>
            <w:pPr>
              <w:jc w:val="left"/>
            </w:pPr>
            <w:r>
              <w:rPr>
                <w:rFonts w:ascii="Arial" w:cs="Arial" w:eastAsia="Arial" w:hAnsi="Arial"/>
                <w:b/>
                <w:bCs/>
                <w:color w:val="1F4E79"/>
                <w:sz w:val="18"/>
                <w:szCs w:val="18"/>
              </w:rPr>
              <w:t xml:space="preserve">Plug-In UI</w:t>
            </w:r>
          </w:p>
        </w:tc>
        <w:tc>
          <w:tcPr>
            <w:tcW w:type="dxa" w:w="6760"/>
            <w:tcBorders>
              <w:top w:val="single" w:color="BDD6EE" w:sz="1"/>
              <w:left w:val="single" w:color="BDD6EE" w:sz="1"/>
              <w:bottom w:val="single" w:color="BDD6EE" w:sz="1"/>
              <w:right w:val="single" w:color="BDD6EE" w:sz="1"/>
            </w:tcBorders>
            <w:shd w:fill="FFFFFF" w:val="clear"/>
            <w:tcMar>
              <w:top w:type="dxa" w:w="90"/>
              <w:left w:type="dxa" w:w="150"/>
              <w:bottom w:type="dxa" w:w="90"/>
              <w:right w:type="dxa" w:w="150"/>
            </w:tcMar>
          </w:tcPr>
          <w:p>
            <w:pPr>
              <w:jc w:val="left"/>
            </w:pPr>
            <w:r>
              <w:rPr>
                <w:rFonts w:ascii="Arial" w:cs="Arial" w:eastAsia="Arial" w:hAnsi="Arial"/>
                <w:b w:val="false"/>
                <w:bCs w:val="false"/>
                <w:color w:val="1A1A1A"/>
                <w:sz w:val="18"/>
                <w:szCs w:val="18"/>
              </w:rPr>
              <w:t xml:space="preserve">WPF (XAML) using PowerMill PluginFramework40.dll — vertical side panel</w:t>
            </w:r>
          </w:p>
        </w:tc>
      </w:tr>
      <w:tr>
        <w:tc>
          <w:tcPr>
            <w:tcW w:type="dxa" w:w="2600"/>
            <w:tcBorders>
              <w:top w:val="single" w:color="BDD6EE" w:sz="1"/>
              <w:left w:val="single" w:color="BDD6EE" w:sz="1"/>
              <w:bottom w:val="single" w:color="BDD6EE" w:sz="1"/>
              <w:right w:val="single" w:color="BDD6EE" w:sz="1"/>
            </w:tcBorders>
            <w:shd w:fill="F0F7FD" w:val="clear"/>
            <w:tcMar>
              <w:top w:type="dxa" w:w="90"/>
              <w:left w:type="dxa" w:w="150"/>
              <w:bottom w:type="dxa" w:w="90"/>
              <w:right w:type="dxa" w:w="150"/>
            </w:tcMar>
          </w:tcPr>
          <w:p>
            <w:pPr>
              <w:jc w:val="left"/>
            </w:pPr>
            <w:r>
              <w:rPr>
                <w:rFonts w:ascii="Arial" w:cs="Arial" w:eastAsia="Arial" w:hAnsi="Arial"/>
                <w:b/>
                <w:bCs/>
                <w:color w:val="1F4E79"/>
                <w:sz w:val="18"/>
                <w:szCs w:val="18"/>
              </w:rPr>
              <w:t xml:space="preserve">PowerMill COM Binding</w:t>
            </w:r>
          </w:p>
        </w:tc>
        <w:tc>
          <w:tcPr>
            <w:tcW w:type="dxa" w:w="6760"/>
            <w:tcBorders>
              <w:top w:val="single" w:color="BDD6EE" w:sz="1"/>
              <w:left w:val="single" w:color="BDD6EE" w:sz="1"/>
              <w:bottom w:val="single" w:color="BDD6EE" w:sz="1"/>
              <w:right w:val="single" w:color="BDD6EE" w:sz="1"/>
            </w:tcBorders>
            <w:shd w:fill="F0F7FD" w:val="clear"/>
            <w:tcMar>
              <w:top w:type="dxa" w:w="90"/>
              <w:left w:type="dxa" w:w="150"/>
              <w:bottom w:type="dxa" w:w="90"/>
              <w:right w:type="dxa" w:w="150"/>
            </w:tcMar>
          </w:tcPr>
          <w:p>
            <w:pPr>
              <w:jc w:val="left"/>
            </w:pPr>
            <w:r>
              <w:rPr>
                <w:rFonts w:ascii="Arial" w:cs="Arial" w:eastAsia="Arial" w:hAnsi="Arial"/>
                <w:b w:val="false"/>
                <w:bCs w:val="false"/>
                <w:color w:val="1A1A1A"/>
                <w:sz w:val="18"/>
                <w:szCs w:val="18"/>
              </w:rPr>
              <w:t xml:space="preserve">PowerMill.dll — generated from pmill.exe using tlbimp.exe (one-time setup per PM version)</w:t>
            </w:r>
          </w:p>
        </w:tc>
      </w:tr>
      <w:tr>
        <w:tc>
          <w:tcPr>
            <w:tcW w:type="dxa" w:w="2600"/>
            <w:tcBorders>
              <w:top w:val="single" w:color="BDD6EE" w:sz="1"/>
              <w:left w:val="single" w:color="BDD6EE" w:sz="1"/>
              <w:bottom w:val="single" w:color="BDD6EE" w:sz="1"/>
              <w:right w:val="single" w:color="BDD6EE" w:sz="1"/>
            </w:tcBorders>
            <w:shd w:fill="FFFFFF" w:val="clear"/>
            <w:tcMar>
              <w:top w:type="dxa" w:w="90"/>
              <w:left w:type="dxa" w:w="150"/>
              <w:bottom w:type="dxa" w:w="90"/>
              <w:right w:type="dxa" w:w="150"/>
            </w:tcMar>
          </w:tcPr>
          <w:p>
            <w:pPr>
              <w:jc w:val="left"/>
            </w:pPr>
            <w:r>
              <w:rPr>
                <w:rFonts w:ascii="Arial" w:cs="Arial" w:eastAsia="Arial" w:hAnsi="Arial"/>
                <w:b/>
                <w:bCs/>
                <w:color w:val="1F4E79"/>
                <w:sz w:val="18"/>
                <w:szCs w:val="18"/>
              </w:rPr>
              <w:t xml:space="preserve">API Library</w:t>
            </w:r>
          </w:p>
        </w:tc>
        <w:tc>
          <w:tcPr>
            <w:tcW w:type="dxa" w:w="6760"/>
            <w:tcBorders>
              <w:top w:val="single" w:color="BDD6EE" w:sz="1"/>
              <w:left w:val="single" w:color="BDD6EE" w:sz="1"/>
              <w:bottom w:val="single" w:color="BDD6EE" w:sz="1"/>
              <w:right w:val="single" w:color="BDD6EE" w:sz="1"/>
            </w:tcBorders>
            <w:shd w:fill="FFFFFF" w:val="clear"/>
            <w:tcMar>
              <w:top w:type="dxa" w:w="90"/>
              <w:left w:type="dxa" w:w="150"/>
              <w:bottom w:type="dxa" w:w="90"/>
              <w:right w:type="dxa" w:w="150"/>
            </w:tcMar>
          </w:tcPr>
          <w:p>
            <w:pPr>
              <w:jc w:val="left"/>
            </w:pPr>
            <w:r>
              <w:rPr>
                <w:rFonts w:ascii="Arial" w:cs="Arial" w:eastAsia="Arial" w:hAnsi="Arial"/>
                <w:b w:val="false"/>
                <w:bCs w:val="false"/>
                <w:color w:val="1A1A1A"/>
                <w:sz w:val="18"/>
                <w:szCs w:val="18"/>
              </w:rPr>
              <w:t xml:space="preserve">Autodesk PowerShapeAndPowerMillAPI — MIT license, NuGet package</w:t>
            </w:r>
          </w:p>
        </w:tc>
      </w:tr>
      <w:tr>
        <w:tc>
          <w:tcPr>
            <w:tcW w:type="dxa" w:w="2600"/>
            <w:tcBorders>
              <w:top w:val="single" w:color="BDD6EE" w:sz="1"/>
              <w:left w:val="single" w:color="BDD6EE" w:sz="1"/>
              <w:bottom w:val="single" w:color="BDD6EE" w:sz="1"/>
              <w:right w:val="single" w:color="BDD6EE" w:sz="1"/>
            </w:tcBorders>
            <w:shd w:fill="F0F7FD" w:val="clear"/>
            <w:tcMar>
              <w:top w:type="dxa" w:w="90"/>
              <w:left w:type="dxa" w:w="150"/>
              <w:bottom w:type="dxa" w:w="90"/>
              <w:right w:type="dxa" w:w="150"/>
            </w:tcMar>
          </w:tcPr>
          <w:p>
            <w:pPr>
              <w:jc w:val="left"/>
            </w:pPr>
            <w:r>
              <w:rPr>
                <w:rFonts w:ascii="Arial" w:cs="Arial" w:eastAsia="Arial" w:hAnsi="Arial"/>
                <w:b/>
                <w:bCs/>
                <w:color w:val="1F4E79"/>
                <w:sz w:val="18"/>
                <w:szCs w:val="18"/>
              </w:rPr>
              <w:t xml:space="preserve">Strategy Injection</w:t>
            </w:r>
          </w:p>
        </w:tc>
        <w:tc>
          <w:tcPr>
            <w:tcW w:type="dxa" w:w="6760"/>
            <w:tcBorders>
              <w:top w:val="single" w:color="BDD6EE" w:sz="1"/>
              <w:left w:val="single" w:color="BDD6EE" w:sz="1"/>
              <w:bottom w:val="single" w:color="BDD6EE" w:sz="1"/>
              <w:right w:val="single" w:color="BDD6EE" w:sz="1"/>
            </w:tcBorders>
            <w:shd w:fill="F0F7FD" w:val="clear"/>
            <w:tcMar>
              <w:top w:type="dxa" w:w="90"/>
              <w:left w:type="dxa" w:w="150"/>
              <w:bottom w:type="dxa" w:w="90"/>
              <w:right w:type="dxa" w:w="150"/>
            </w:tcMar>
          </w:tcPr>
          <w:p>
            <w:pPr>
              <w:jc w:val="left"/>
            </w:pPr>
            <w:r>
              <w:rPr>
                <w:rFonts w:ascii="Arial" w:cs="Arial" w:eastAsia="Arial" w:hAnsi="Arial"/>
                <w:b w:val="false"/>
                <w:bCs w:val="false"/>
                <w:color w:val="1A1A1A"/>
                <w:sz w:val="18"/>
                <w:szCs w:val="18"/>
              </w:rPr>
              <w:t xml:space="preserve">Macro string generation (.mac) + ExecuteEx() calls + .ptf toolpath template library</w:t>
            </w:r>
          </w:p>
        </w:tc>
      </w:tr>
      <w:tr>
        <w:tc>
          <w:tcPr>
            <w:tcW w:type="dxa" w:w="2600"/>
            <w:tcBorders>
              <w:top w:val="single" w:color="BDD6EE" w:sz="1"/>
              <w:left w:val="single" w:color="BDD6EE" w:sz="1"/>
              <w:bottom w:val="single" w:color="BDD6EE" w:sz="1"/>
              <w:right w:val="single" w:color="BDD6EE" w:sz="1"/>
            </w:tcBorders>
            <w:shd w:fill="FFFFFF" w:val="clear"/>
            <w:tcMar>
              <w:top w:type="dxa" w:w="90"/>
              <w:left w:type="dxa" w:w="150"/>
              <w:bottom w:type="dxa" w:w="90"/>
              <w:right w:type="dxa" w:w="150"/>
            </w:tcMar>
          </w:tcPr>
          <w:p>
            <w:pPr>
              <w:jc w:val="left"/>
            </w:pPr>
            <w:r>
              <w:rPr>
                <w:rFonts w:ascii="Arial" w:cs="Arial" w:eastAsia="Arial" w:hAnsi="Arial"/>
                <w:b/>
                <w:bCs/>
                <w:color w:val="1F4E79"/>
                <w:sz w:val="18"/>
                <w:szCs w:val="18"/>
              </w:rPr>
              <w:t xml:space="preserve">Geometry Export</w:t>
            </w:r>
          </w:p>
        </w:tc>
        <w:tc>
          <w:tcPr>
            <w:tcW w:type="dxa" w:w="6760"/>
            <w:tcBorders>
              <w:top w:val="single" w:color="BDD6EE" w:sz="1"/>
              <w:left w:val="single" w:color="BDD6EE" w:sz="1"/>
              <w:bottom w:val="single" w:color="BDD6EE" w:sz="1"/>
              <w:right w:val="single" w:color="BDD6EE" w:sz="1"/>
            </w:tcBorders>
            <w:shd w:fill="FFFFFF" w:val="clear"/>
            <w:tcMar>
              <w:top w:type="dxa" w:w="90"/>
              <w:left w:type="dxa" w:w="150"/>
              <w:bottom w:type="dxa" w:w="90"/>
              <w:right w:type="dxa" w:w="150"/>
            </w:tcMar>
          </w:tcPr>
          <w:p>
            <w:pPr>
              <w:jc w:val="left"/>
            </w:pPr>
            <w:r>
              <w:rPr>
                <w:rFonts w:ascii="Arial" w:cs="Arial" w:eastAsia="Arial" w:hAnsi="Arial"/>
                <w:b w:val="false"/>
                <w:bCs w:val="false"/>
                <w:color w:val="1A1A1A"/>
                <w:sz w:val="18"/>
                <w:szCs w:val="18"/>
              </w:rPr>
              <w:t xml:space="preserve">STEP export via PowerMill macro command, then sent to cloud API</w:t>
            </w:r>
          </w:p>
        </w:tc>
      </w:tr>
      <w:tr>
        <w:tc>
          <w:tcPr>
            <w:tcW w:type="dxa" w:w="2600"/>
            <w:tcBorders>
              <w:top w:val="single" w:color="BDD6EE" w:sz="1"/>
              <w:left w:val="single" w:color="BDD6EE" w:sz="1"/>
              <w:bottom w:val="single" w:color="BDD6EE" w:sz="1"/>
              <w:right w:val="single" w:color="BDD6EE" w:sz="1"/>
            </w:tcBorders>
            <w:shd w:fill="F0F7FD" w:val="clear"/>
            <w:tcMar>
              <w:top w:type="dxa" w:w="90"/>
              <w:left w:type="dxa" w:w="150"/>
              <w:bottom w:type="dxa" w:w="90"/>
              <w:right w:type="dxa" w:w="150"/>
            </w:tcMar>
          </w:tcPr>
          <w:p>
            <w:pPr>
              <w:jc w:val="left"/>
            </w:pPr>
            <w:r>
              <w:rPr>
                <w:rFonts w:ascii="Arial" w:cs="Arial" w:eastAsia="Arial" w:hAnsi="Arial"/>
                <w:b/>
                <w:bCs/>
                <w:color w:val="1F4E79"/>
                <w:sz w:val="18"/>
                <w:szCs w:val="18"/>
              </w:rPr>
              <w:t xml:space="preserve">Cloud AI Engine</w:t>
            </w:r>
          </w:p>
        </w:tc>
        <w:tc>
          <w:tcPr>
            <w:tcW w:type="dxa" w:w="6760"/>
            <w:tcBorders>
              <w:top w:val="single" w:color="BDD6EE" w:sz="1"/>
              <w:left w:val="single" w:color="BDD6EE" w:sz="1"/>
              <w:bottom w:val="single" w:color="BDD6EE" w:sz="1"/>
              <w:right w:val="single" w:color="BDD6EE" w:sz="1"/>
            </w:tcBorders>
            <w:shd w:fill="F0F7FD" w:val="clear"/>
            <w:tcMar>
              <w:top w:type="dxa" w:w="90"/>
              <w:left w:type="dxa" w:w="150"/>
              <w:bottom w:type="dxa" w:w="90"/>
              <w:right w:type="dxa" w:w="150"/>
            </w:tcMar>
          </w:tcPr>
          <w:p>
            <w:pPr>
              <w:jc w:val="left"/>
            </w:pPr>
            <w:r>
              <w:rPr>
                <w:rFonts w:ascii="Arial" w:cs="Arial" w:eastAsia="Arial" w:hAnsi="Arial"/>
                <w:b w:val="false"/>
                <w:bCs w:val="false"/>
                <w:color w:val="1A1A1A"/>
                <w:sz w:val="18"/>
                <w:szCs w:val="18"/>
              </w:rPr>
              <w:t xml:space="preserve">Unchanged — Python FastAPI on AWS, PyTorch Geometric AFR, C++ physics engine</w:t>
            </w:r>
          </w:p>
        </w:tc>
      </w:tr>
      <w:tr>
        <w:tc>
          <w:tcPr>
            <w:tcW w:type="dxa" w:w="2600"/>
            <w:tcBorders>
              <w:top w:val="single" w:color="BDD6EE" w:sz="1"/>
              <w:left w:val="single" w:color="BDD6EE" w:sz="1"/>
              <w:bottom w:val="single" w:color="BDD6EE" w:sz="1"/>
              <w:right w:val="single" w:color="BDD6EE" w:sz="1"/>
            </w:tcBorders>
            <w:shd w:fill="FFFFFF" w:val="clear"/>
            <w:tcMar>
              <w:top w:type="dxa" w:w="90"/>
              <w:left w:type="dxa" w:w="150"/>
              <w:bottom w:type="dxa" w:w="90"/>
              <w:right w:type="dxa" w:w="150"/>
            </w:tcMar>
          </w:tcPr>
          <w:p>
            <w:pPr>
              <w:jc w:val="left"/>
            </w:pPr>
            <w:r>
              <w:rPr>
                <w:rFonts w:ascii="Arial" w:cs="Arial" w:eastAsia="Arial" w:hAnsi="Arial"/>
                <w:b/>
                <w:bCs/>
                <w:color w:val="1F4E79"/>
                <w:sz w:val="18"/>
                <w:szCs w:val="18"/>
              </w:rPr>
              <w:t xml:space="preserve">IDE</w:t>
            </w:r>
          </w:p>
        </w:tc>
        <w:tc>
          <w:tcPr>
            <w:tcW w:type="dxa" w:w="6760"/>
            <w:tcBorders>
              <w:top w:val="single" w:color="BDD6EE" w:sz="1"/>
              <w:left w:val="single" w:color="BDD6EE" w:sz="1"/>
              <w:bottom w:val="single" w:color="BDD6EE" w:sz="1"/>
              <w:right w:val="single" w:color="BDD6EE" w:sz="1"/>
            </w:tcBorders>
            <w:shd w:fill="FFFFFF" w:val="clear"/>
            <w:tcMar>
              <w:top w:type="dxa" w:w="90"/>
              <w:left w:type="dxa" w:w="150"/>
              <w:bottom w:type="dxa" w:w="90"/>
              <w:right w:type="dxa" w:w="150"/>
            </w:tcMar>
          </w:tcPr>
          <w:p>
            <w:pPr>
              <w:jc w:val="left"/>
            </w:pPr>
            <w:r>
              <w:rPr>
                <w:rFonts w:ascii="Arial" w:cs="Arial" w:eastAsia="Arial" w:hAnsi="Arial"/>
                <w:b w:val="false"/>
                <w:bCs w:val="false"/>
                <w:color w:val="1A1A1A"/>
                <w:sz w:val="18"/>
                <w:szCs w:val="18"/>
              </w:rPr>
              <w:t xml:space="preserve">Visual Studio 2022 (Windows) for plug-in; VS Code (Linux/Mac) for cloud services</w:t>
            </w:r>
          </w:p>
        </w:tc>
      </w:tr>
      <w:tr>
        <w:tc>
          <w:tcPr>
            <w:tcW w:type="dxa" w:w="2600"/>
            <w:tcBorders>
              <w:top w:val="single" w:color="BDD6EE" w:sz="1"/>
              <w:left w:val="single" w:color="BDD6EE" w:sz="1"/>
              <w:bottom w:val="single" w:color="BDD6EE" w:sz="1"/>
              <w:right w:val="single" w:color="BDD6EE" w:sz="1"/>
            </w:tcBorders>
            <w:shd w:fill="F0F7FD" w:val="clear"/>
            <w:tcMar>
              <w:top w:type="dxa" w:w="90"/>
              <w:left w:type="dxa" w:w="150"/>
              <w:bottom w:type="dxa" w:w="90"/>
              <w:right w:type="dxa" w:w="150"/>
            </w:tcMar>
          </w:tcPr>
          <w:p>
            <w:pPr>
              <w:jc w:val="left"/>
            </w:pPr>
            <w:r>
              <w:rPr>
                <w:rFonts w:ascii="Arial" w:cs="Arial" w:eastAsia="Arial" w:hAnsi="Arial"/>
                <w:b/>
                <w:bCs/>
                <w:color w:val="1F4E79"/>
                <w:sz w:val="18"/>
                <w:szCs w:val="18"/>
              </w:rPr>
              <w:t xml:space="preserve">Template Library</w:t>
            </w:r>
          </w:p>
        </w:tc>
        <w:tc>
          <w:tcPr>
            <w:tcW w:type="dxa" w:w="6760"/>
            <w:tcBorders>
              <w:top w:val="single" w:color="BDD6EE" w:sz="1"/>
              <w:left w:val="single" w:color="BDD6EE" w:sz="1"/>
              <w:bottom w:val="single" w:color="BDD6EE" w:sz="1"/>
              <w:right w:val="single" w:color="BDD6EE" w:sz="1"/>
            </w:tcBorders>
            <w:shd w:fill="F0F7FD" w:val="clear"/>
            <w:tcMar>
              <w:top w:type="dxa" w:w="90"/>
              <w:left w:type="dxa" w:w="150"/>
              <w:bottom w:type="dxa" w:w="90"/>
              <w:right w:type="dxa" w:w="150"/>
            </w:tcMar>
          </w:tcPr>
          <w:p>
            <w:pPr>
              <w:jc w:val="left"/>
            </w:pPr>
            <w:r>
              <w:rPr>
                <w:rFonts w:ascii="Arial" w:cs="Arial" w:eastAsia="Arial" w:hAnsi="Arial"/>
                <w:b w:val="false"/>
                <w:bCs w:val="false"/>
                <w:color w:val="1A1A1A"/>
                <w:sz w:val="18"/>
                <w:szCs w:val="18"/>
              </w:rPr>
              <w:t xml:space="preserve">15–20 .ptf toolpath templates covering roughing, semi-finishing, finishing, drilling for prismatic parts — stored in cloud and deployed with plug-in installer</w:t>
            </w:r>
          </w:p>
        </w:tc>
      </w:tr>
      <w:tr>
        <w:tc>
          <w:tcPr>
            <w:tcW w:type="dxa" w:w="2600"/>
            <w:tcBorders>
              <w:top w:val="single" w:color="BDD6EE" w:sz="1"/>
              <w:left w:val="single" w:color="BDD6EE" w:sz="1"/>
              <w:bottom w:val="single" w:color="BDD6EE" w:sz="1"/>
              <w:right w:val="single" w:color="BDD6EE" w:sz="1"/>
            </w:tcBorders>
            <w:shd w:fill="FFFFFF" w:val="clear"/>
            <w:tcMar>
              <w:top w:type="dxa" w:w="90"/>
              <w:left w:type="dxa" w:w="150"/>
              <w:bottom w:type="dxa" w:w="90"/>
              <w:right w:type="dxa" w:w="150"/>
            </w:tcMar>
          </w:tcPr>
          <w:p>
            <w:pPr>
              <w:jc w:val="left"/>
            </w:pPr>
            <w:r>
              <w:rPr>
                <w:rFonts w:ascii="Arial" w:cs="Arial" w:eastAsia="Arial" w:hAnsi="Arial"/>
                <w:b/>
                <w:bCs/>
                <w:color w:val="1F4E79"/>
                <w:sz w:val="18"/>
                <w:szCs w:val="18"/>
              </w:rPr>
              <w:t xml:space="preserve">Test Environment</w:t>
            </w:r>
          </w:p>
        </w:tc>
        <w:tc>
          <w:tcPr>
            <w:tcW w:type="dxa" w:w="6760"/>
            <w:tcBorders>
              <w:top w:val="single" w:color="BDD6EE" w:sz="1"/>
              <w:left w:val="single" w:color="BDD6EE" w:sz="1"/>
              <w:bottom w:val="single" w:color="BDD6EE" w:sz="1"/>
              <w:right w:val="single" w:color="BDD6EE" w:sz="1"/>
            </w:tcBorders>
            <w:shd w:fill="FFFFFF" w:val="clear"/>
            <w:tcMar>
              <w:top w:type="dxa" w:w="90"/>
              <w:left w:type="dxa" w:w="150"/>
              <w:bottom w:type="dxa" w:w="90"/>
              <w:right w:type="dxa" w:w="150"/>
            </w:tcMar>
          </w:tcPr>
          <w:p>
            <w:pPr>
              <w:jc w:val="left"/>
            </w:pPr>
            <w:r>
              <w:rPr>
                <w:rFonts w:ascii="Arial" w:cs="Arial" w:eastAsia="Arial" w:hAnsi="Arial"/>
                <w:b w:val="false"/>
                <w:bCs w:val="false"/>
                <w:color w:val="1A1A1A"/>
                <w:sz w:val="18"/>
                <w:szCs w:val="18"/>
              </w:rPr>
              <w:t xml:space="preserve">PowerMill 2024 primary; validated against 2022 and 2023 for partner shop compatibility</w:t>
            </w:r>
          </w:p>
        </w:tc>
      </w:tr>
    </w:tbl>
    <w:p>
      <w:r>
        <w:rPr>
          <w:sz w:val="18"/>
          <w:szCs w:val="18"/>
        </w:rPr>
        <w:t xml:space="preserve"/>
      </w:r>
    </w:p>
    <w:p>
      <w:pPr>
        <w:pStyle w:val="Heading1"/>
        <w:pBdr>
          <w:bottom w:val="single" w:color="2E75B6" w:sz="8" w:space="8"/>
        </w:pBdr>
        <w:spacing w:before="400" w:after="100"/>
      </w:pPr>
      <w:r>
        <w:rPr>
          <w:rFonts w:ascii="Arial" w:cs="Arial" w:eastAsia="Arial" w:hAnsi="Arial"/>
          <w:b/>
          <w:bCs/>
          <w:color w:val="0D2137"/>
          <w:sz w:val="34"/>
          <w:szCs w:val="34"/>
        </w:rPr>
        <w:t xml:space="preserve">6. Market Positioning — Why PowerMill is the Right Market</w:t>
      </w:r>
    </w:p>
    <w:p>
      <w:pPr>
        <w:spacing w:before="60" w:after="60"/>
      </w:pPr>
      <w:r>
        <w:rPr>
          <w:rFonts w:ascii="Arial" w:cs="Arial" w:eastAsia="Arial" w:hAnsi="Arial"/>
          <w:sz w:val="20"/>
          <w:szCs w:val="20"/>
        </w:rPr>
        <w:t xml:space="preserve">Beyond the immediate practical benefit of matching our partner shops' software, there is a compelling strategic argument for PowerMill as a long-term platform focus.</w:t>
      </w:r>
    </w:p>
    <w:p>
      <w:r>
        <w:rPr>
          <w:sz w:val="18"/>
          <w:szCs w:val="18"/>
        </w:rPr>
        <w:t xml:space="preserve"/>
      </w:r>
    </w:p>
    <w:p>
      <w:pPr>
        <w:pStyle w:val="Heading2"/>
        <w:spacing w:before="260" w:after="80"/>
      </w:pPr>
      <w:r>
        <w:rPr>
          <w:rFonts w:ascii="Arial" w:cs="Arial" w:eastAsia="Arial" w:hAnsi="Arial"/>
          <w:b/>
          <w:bCs/>
          <w:color w:val="2E75B6"/>
          <w:sz w:val="26"/>
          <w:szCs w:val="26"/>
        </w:rPr>
        <w:t xml:space="preserve">6.1 The PowerMill User Is Our Highest-Value Customer</w:t>
      </w:r>
    </w:p>
    <w:p>
      <w:pPr>
        <w:spacing w:before="60" w:after="60"/>
      </w:pPr>
      <w:r>
        <w:rPr>
          <w:rFonts w:ascii="Arial" w:cs="Arial" w:eastAsia="Arial" w:hAnsi="Arial"/>
          <w:sz w:val="20"/>
          <w:szCs w:val="20"/>
        </w:rPr>
        <w:t xml:space="preserve">PowerMill is not cheap, and neither are the shops that use it. A company paying $10,000+ per seat per year for CAM software is a company for whom machining is a high-value, high-complexity core activity. These are the customers who will pay a meaningful price for AI-powered programming assistance — and for whom the ROI is immediate and measurable.</w:t>
      </w:r>
    </w:p>
    <w:p>
      <w:r>
        <w:rPr>
          <w:sz w:val="18"/>
          <w:szCs w:val="18"/>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BDD6EE" w:sz="1"/>
              <w:left w:val="single" w:color="BDD6EE" w:sz="1"/>
              <w:bottom w:val="single" w:color="BDD6EE" w:sz="1"/>
              <w:right w:val="single" w:color="BDD6EE" w:sz="1"/>
            </w:tcBorders>
            <w:shd w:fill="F0F7FD" w:val="clear"/>
            <w:tcMar>
              <w:top w:type="dxa" w:w="90"/>
              <w:left w:type="dxa" w:w="150"/>
              <w:bottom w:type="dxa" w:w="90"/>
              <w:right w:type="dxa" w:w="150"/>
            </w:tcMar>
          </w:tcPr>
          <w:p>
            <w:pPr>
              <w:jc w:val="left"/>
            </w:pPr>
            <w:r>
              <w:rPr>
                <w:rFonts w:ascii="Arial" w:cs="Arial" w:eastAsia="Arial" w:hAnsi="Arial"/>
                <w:b/>
                <w:bCs/>
                <w:color w:val="1F4E79"/>
                <w:sz w:val="18"/>
                <w:szCs w:val="18"/>
              </w:rPr>
              <w:t xml:space="preserve">Typical PowerMill Shop</w:t>
            </w:r>
          </w:p>
        </w:tc>
        <w:tc>
          <w:tcPr>
            <w:tcW w:type="dxa" w:w="6760"/>
            <w:tcBorders>
              <w:top w:val="single" w:color="BDD6EE" w:sz="1"/>
              <w:left w:val="single" w:color="BDD6EE" w:sz="1"/>
              <w:bottom w:val="single" w:color="BDD6EE" w:sz="1"/>
              <w:right w:val="single" w:color="BDD6EE" w:sz="1"/>
            </w:tcBorders>
            <w:shd w:fill="F0F7FD" w:val="clear"/>
            <w:tcMar>
              <w:top w:type="dxa" w:w="90"/>
              <w:left w:type="dxa" w:w="150"/>
              <w:bottom w:type="dxa" w:w="90"/>
              <w:right w:type="dxa" w:w="150"/>
            </w:tcMar>
          </w:tcPr>
          <w:p>
            <w:pPr>
              <w:jc w:val="left"/>
            </w:pPr>
            <w:r>
              <w:rPr>
                <w:rFonts w:ascii="Arial" w:cs="Arial" w:eastAsia="Arial" w:hAnsi="Arial"/>
                <w:b w:val="false"/>
                <w:bCs w:val="false"/>
                <w:color w:val="1A1A1A"/>
                <w:sz w:val="18"/>
                <w:szCs w:val="18"/>
              </w:rPr>
              <w:t xml:space="preserve">25–500 employees; machining complex aerospace, automotive, or mold/die parts; 5–20 CNC programmers; $10M–$500M revenue</w:t>
            </w:r>
          </w:p>
        </w:tc>
      </w:tr>
      <w:tr>
        <w:tc>
          <w:tcPr>
            <w:tcW w:type="dxa" w:w="2600"/>
            <w:tcBorders>
              <w:top w:val="single" w:color="BDD6EE" w:sz="1"/>
              <w:left w:val="single" w:color="BDD6EE" w:sz="1"/>
              <w:bottom w:val="single" w:color="BDD6EE" w:sz="1"/>
              <w:right w:val="single" w:color="BDD6EE" w:sz="1"/>
            </w:tcBorders>
            <w:shd w:fill="FFFFFF" w:val="clear"/>
            <w:tcMar>
              <w:top w:type="dxa" w:w="90"/>
              <w:left w:type="dxa" w:w="150"/>
              <w:bottom w:type="dxa" w:w="90"/>
              <w:right w:type="dxa" w:w="150"/>
            </w:tcMar>
          </w:tcPr>
          <w:p>
            <w:pPr>
              <w:jc w:val="left"/>
            </w:pPr>
            <w:r>
              <w:rPr>
                <w:rFonts w:ascii="Arial" w:cs="Arial" w:eastAsia="Arial" w:hAnsi="Arial"/>
                <w:b/>
                <w:bCs/>
                <w:color w:val="1F4E79"/>
                <w:sz w:val="18"/>
                <w:szCs w:val="18"/>
              </w:rPr>
              <w:t xml:space="preserve">Part Complexity</w:t>
            </w:r>
          </w:p>
        </w:tc>
        <w:tc>
          <w:tcPr>
            <w:tcW w:type="dxa" w:w="6760"/>
            <w:tcBorders>
              <w:top w:val="single" w:color="BDD6EE" w:sz="1"/>
              <w:left w:val="single" w:color="BDD6EE" w:sz="1"/>
              <w:bottom w:val="single" w:color="BDD6EE" w:sz="1"/>
              <w:right w:val="single" w:color="BDD6EE" w:sz="1"/>
            </w:tcBorders>
            <w:shd w:fill="FFFFFF" w:val="clear"/>
            <w:tcMar>
              <w:top w:type="dxa" w:w="90"/>
              <w:left w:type="dxa" w:w="150"/>
              <w:bottom w:type="dxa" w:w="90"/>
              <w:right w:type="dxa" w:w="150"/>
            </w:tcMar>
          </w:tcPr>
          <w:p>
            <w:pPr>
              <w:jc w:val="left"/>
            </w:pPr>
            <w:r>
              <w:rPr>
                <w:rFonts w:ascii="Arial" w:cs="Arial" w:eastAsia="Arial" w:hAnsi="Arial"/>
                <w:b w:val="false"/>
                <w:bCs w:val="false"/>
                <w:color w:val="1A1A1A"/>
                <w:sz w:val="18"/>
                <w:szCs w:val="18"/>
              </w:rPr>
              <w:t xml:space="preserve">Molds, dies, turbine components, structural aerospace parts, engine components — parts where programming takes days to weeks, not hours</w:t>
            </w:r>
          </w:p>
        </w:tc>
      </w:tr>
      <w:tr>
        <w:tc>
          <w:tcPr>
            <w:tcW w:type="dxa" w:w="2600"/>
            <w:tcBorders>
              <w:top w:val="single" w:color="BDD6EE" w:sz="1"/>
              <w:left w:val="single" w:color="BDD6EE" w:sz="1"/>
              <w:bottom w:val="single" w:color="BDD6EE" w:sz="1"/>
              <w:right w:val="single" w:color="BDD6EE" w:sz="1"/>
            </w:tcBorders>
            <w:shd w:fill="F0F7FD" w:val="clear"/>
            <w:tcMar>
              <w:top w:type="dxa" w:w="90"/>
              <w:left w:type="dxa" w:w="150"/>
              <w:bottom w:type="dxa" w:w="90"/>
              <w:right w:type="dxa" w:w="150"/>
            </w:tcMar>
          </w:tcPr>
          <w:p>
            <w:pPr>
              <w:jc w:val="left"/>
            </w:pPr>
            <w:r>
              <w:rPr>
                <w:rFonts w:ascii="Arial" w:cs="Arial" w:eastAsia="Arial" w:hAnsi="Arial"/>
                <w:b/>
                <w:bCs/>
                <w:color w:val="1F4E79"/>
                <w:sz w:val="18"/>
                <w:szCs w:val="18"/>
              </w:rPr>
              <w:t xml:space="preserve">Programming Time (Current)</w:t>
            </w:r>
          </w:p>
        </w:tc>
        <w:tc>
          <w:tcPr>
            <w:tcW w:type="dxa" w:w="6760"/>
            <w:tcBorders>
              <w:top w:val="single" w:color="BDD6EE" w:sz="1"/>
              <w:left w:val="single" w:color="BDD6EE" w:sz="1"/>
              <w:bottom w:val="single" w:color="BDD6EE" w:sz="1"/>
              <w:right w:val="single" w:color="BDD6EE" w:sz="1"/>
            </w:tcBorders>
            <w:shd w:fill="F0F7FD" w:val="clear"/>
            <w:tcMar>
              <w:top w:type="dxa" w:w="90"/>
              <w:left w:type="dxa" w:w="150"/>
              <w:bottom w:type="dxa" w:w="90"/>
              <w:right w:type="dxa" w:w="150"/>
            </w:tcMar>
          </w:tcPr>
          <w:p>
            <w:pPr>
              <w:jc w:val="left"/>
            </w:pPr>
            <w:r>
              <w:rPr>
                <w:rFonts w:ascii="Arial" w:cs="Arial" w:eastAsia="Arial" w:hAnsi="Arial"/>
                <w:b w:val="false"/>
                <w:bCs w:val="false"/>
                <w:color w:val="1A1A1A"/>
                <w:sz w:val="18"/>
                <w:szCs w:val="18"/>
              </w:rPr>
              <w:t xml:space="preserve">Complex 5-axis parts: 2–5 days per part. Even 3-axis mold work: 4–8 hours. AI assistance that cuts this by 50–70% saves tens of thousands of dollars per part per year.</w:t>
            </w:r>
          </w:p>
        </w:tc>
      </w:tr>
      <w:tr>
        <w:tc>
          <w:tcPr>
            <w:tcW w:type="dxa" w:w="2600"/>
            <w:tcBorders>
              <w:top w:val="single" w:color="BDD6EE" w:sz="1"/>
              <w:left w:val="single" w:color="BDD6EE" w:sz="1"/>
              <w:bottom w:val="single" w:color="BDD6EE" w:sz="1"/>
              <w:right w:val="single" w:color="BDD6EE" w:sz="1"/>
            </w:tcBorders>
            <w:shd w:fill="FFFFFF" w:val="clear"/>
            <w:tcMar>
              <w:top w:type="dxa" w:w="90"/>
              <w:left w:type="dxa" w:w="150"/>
              <w:bottom w:type="dxa" w:w="90"/>
              <w:right w:type="dxa" w:w="150"/>
            </w:tcMar>
          </w:tcPr>
          <w:p>
            <w:pPr>
              <w:jc w:val="left"/>
            </w:pPr>
            <w:r>
              <w:rPr>
                <w:rFonts w:ascii="Arial" w:cs="Arial" w:eastAsia="Arial" w:hAnsi="Arial"/>
                <w:b/>
                <w:bCs/>
                <w:color w:val="1F4E79"/>
                <w:sz w:val="18"/>
                <w:szCs w:val="18"/>
              </w:rPr>
              <w:t xml:space="preserve">Willingness to Pay</w:t>
            </w:r>
          </w:p>
        </w:tc>
        <w:tc>
          <w:tcPr>
            <w:tcW w:type="dxa" w:w="6760"/>
            <w:tcBorders>
              <w:top w:val="single" w:color="BDD6EE" w:sz="1"/>
              <w:left w:val="single" w:color="BDD6EE" w:sz="1"/>
              <w:bottom w:val="single" w:color="BDD6EE" w:sz="1"/>
              <w:right w:val="single" w:color="BDD6EE" w:sz="1"/>
            </w:tcBorders>
            <w:shd w:fill="FFFFFF" w:val="clear"/>
            <w:tcMar>
              <w:top w:type="dxa" w:w="90"/>
              <w:left w:type="dxa" w:w="150"/>
              <w:bottom w:type="dxa" w:w="90"/>
              <w:right w:type="dxa" w:w="150"/>
            </w:tcMar>
          </w:tcPr>
          <w:p>
            <w:pPr>
              <w:jc w:val="left"/>
            </w:pPr>
            <w:r>
              <w:rPr>
                <w:rFonts w:ascii="Arial" w:cs="Arial" w:eastAsia="Arial" w:hAnsi="Arial"/>
                <w:b w:val="false"/>
                <w:bCs w:val="false"/>
                <w:color w:val="1A1A1A"/>
                <w:sz w:val="18"/>
                <w:szCs w:val="18"/>
              </w:rPr>
              <w:t xml:space="preserve">Shops already paying $10K+/seat/year for PowerMill. An AI add-on priced at $500–$2,000/month per seat is a fraction of their existing software cost with a clear, measurable ROI.</w:t>
            </w:r>
          </w:p>
        </w:tc>
      </w:tr>
      <w:tr>
        <w:tc>
          <w:tcPr>
            <w:tcW w:type="dxa" w:w="2600"/>
            <w:tcBorders>
              <w:top w:val="single" w:color="BDD6EE" w:sz="1"/>
              <w:left w:val="single" w:color="BDD6EE" w:sz="1"/>
              <w:bottom w:val="single" w:color="BDD6EE" w:sz="1"/>
              <w:right w:val="single" w:color="BDD6EE" w:sz="1"/>
            </w:tcBorders>
            <w:shd w:fill="F0F7FD" w:val="clear"/>
            <w:tcMar>
              <w:top w:type="dxa" w:w="90"/>
              <w:left w:type="dxa" w:w="150"/>
              <w:bottom w:type="dxa" w:w="90"/>
              <w:right w:type="dxa" w:w="150"/>
            </w:tcMar>
          </w:tcPr>
          <w:p>
            <w:pPr>
              <w:jc w:val="left"/>
            </w:pPr>
            <w:r>
              <w:rPr>
                <w:rFonts w:ascii="Arial" w:cs="Arial" w:eastAsia="Arial" w:hAnsi="Arial"/>
                <w:b/>
                <w:bCs/>
                <w:color w:val="1F4E79"/>
                <w:sz w:val="18"/>
                <w:szCs w:val="18"/>
              </w:rPr>
              <w:t xml:space="preserve">AI Maturity</w:t>
            </w:r>
          </w:p>
        </w:tc>
        <w:tc>
          <w:tcPr>
            <w:tcW w:type="dxa" w:w="6760"/>
            <w:tcBorders>
              <w:top w:val="single" w:color="BDD6EE" w:sz="1"/>
              <w:left w:val="single" w:color="BDD6EE" w:sz="1"/>
              <w:bottom w:val="single" w:color="BDD6EE" w:sz="1"/>
              <w:right w:val="single" w:color="BDD6EE" w:sz="1"/>
            </w:tcBorders>
            <w:shd w:fill="F0F7FD" w:val="clear"/>
            <w:tcMar>
              <w:top w:type="dxa" w:w="90"/>
              <w:left w:type="dxa" w:w="150"/>
              <w:bottom w:type="dxa" w:w="90"/>
              <w:right w:type="dxa" w:w="150"/>
            </w:tcMar>
          </w:tcPr>
          <w:p>
            <w:pPr>
              <w:jc w:val="left"/>
            </w:pPr>
            <w:r>
              <w:rPr>
                <w:rFonts w:ascii="Arial" w:cs="Arial" w:eastAsia="Arial" w:hAnsi="Arial"/>
                <w:b w:val="false"/>
                <w:bCs w:val="false"/>
                <w:color w:val="1A1A1A"/>
                <w:sz w:val="18"/>
                <w:szCs w:val="18"/>
              </w:rPr>
              <w:t xml:space="preserve">Zero. Autodesk has confirmed no AI roadmap for PowerMill. Competitors (CloudNC, LimitlessCNC) focus on Fusion and NX. PowerMill is an uncontested AI opportunity.</w:t>
            </w:r>
          </w:p>
        </w:tc>
      </w:tr>
    </w:tbl>
    <w:p>
      <w:r>
        <w:rPr>
          <w:sz w:val="18"/>
          <w:szCs w:val="18"/>
        </w:rPr>
        <w:t xml:space="preserve"/>
      </w:r>
    </w:p>
    <w:p>
      <w:pPr>
        <w:pStyle w:val="Heading2"/>
        <w:spacing w:before="260" w:after="80"/>
      </w:pPr>
      <w:r>
        <w:rPr>
          <w:rFonts w:ascii="Arial" w:cs="Arial" w:eastAsia="Arial" w:hAnsi="Arial"/>
          <w:b/>
          <w:bCs/>
          <w:color w:val="2E75B6"/>
          <w:sz w:val="26"/>
          <w:szCs w:val="26"/>
        </w:rPr>
        <w:t xml:space="preserve">6.2 Competitive Landscape in the PowerMill Space</w:t>
      </w:r>
    </w:p>
    <w:p>
      <w:pPr>
        <w:spacing w:before="60" w:after="60"/>
      </w:pPr>
      <w:r>
        <w:rPr>
          <w:rFonts w:ascii="Arial" w:cs="Arial" w:eastAsia="Arial" w:hAnsi="Arial"/>
          <w:sz w:val="20"/>
          <w:szCs w:val="20"/>
        </w:rPr>
        <w:t xml:space="preserve">This is the most important competitive fact in this document: as of February 2026, there is no AI-powered CAM assistant specifically designed for PowerMill. None. CloudNC focuses on Mastercam, NX, Fusion, and GibbsCAM — not PowerMill. LimitlessCNC is NX-only. Lambda Function targets NX and Mastercam. Toolpath/CAM Accelerator is Fusion-only.</w:t>
      </w:r>
    </w:p>
    <w:p>
      <w:r>
        <w:rPr>
          <w:sz w:val="18"/>
          <w:szCs w:val="18"/>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DD6EE" w:sz="1"/>
              <w:left w:val="single" w:color="BDD6EE" w:sz="1"/>
              <w:bottom w:val="single" w:color="BDD6EE" w:sz="1"/>
              <w:right w:val="single" w:color="BDD6EE" w:sz="1"/>
            </w:tcBorders>
            <w:shd w:fill="E8F5EC" w:val="clear"/>
            <w:tcMar>
              <w:top w:type="dxa" w:w="130"/>
              <w:left w:type="dxa" w:w="220"/>
              <w:bottom w:type="dxa" w:w="130"/>
              <w:right w:type="dxa" w:w="220"/>
            </w:tcMar>
          </w:tcPr>
          <w:p>
            <w:pPr>
              <w:spacing w:after="60"/>
            </w:pPr>
            <w:r>
              <w:rPr>
                <w:rFonts w:ascii="Arial" w:cs="Arial" w:eastAsia="Arial" w:hAnsi="Arial"/>
                <w:b/>
                <w:bCs/>
                <w:color w:val="1B6B2F"/>
                <w:sz w:val="22"/>
                <w:szCs w:val="22"/>
              </w:rPr>
              <w:t xml:space="preserve">▶  Uncontested Market Opportunity</w:t>
            </w:r>
          </w:p>
          <w:p>
            <w:r>
              <w:rPr>
                <w:rFonts w:ascii="Arial" w:cs="Arial" w:eastAsia="Arial" w:hAnsi="Arial"/>
                <w:color w:val="1B6B2F"/>
                <w:sz w:val="19"/>
                <w:szCs w:val="19"/>
              </w:rPr>
              <w:t xml:space="preserve">Being the first AI CAM plug-in specifically designed for PowerMill, in a market where Autodesk has explicitly stated they will not build this themselves, and where PowerMill users represent some of the highest-value and most technically demanding CNC programmers in the world, is a first-mover advantage of the highest order. This is the correct Phase 1 market.</w:t>
            </w:r>
          </w:p>
        </w:tc>
      </w:tr>
    </w:tbl>
    <w:p>
      <w:r>
        <w:rPr>
          <w:sz w:val="18"/>
          <w:szCs w:val="18"/>
        </w:rPr>
        <w:t xml:space="preserve"/>
      </w:r>
    </w:p>
    <w:p>
      <w:pPr>
        <w:pStyle w:val="Heading1"/>
        <w:pBdr>
          <w:bottom w:val="single" w:color="2E75B6" w:sz="8" w:space="8"/>
        </w:pBdr>
        <w:spacing w:before="400" w:after="100"/>
      </w:pPr>
      <w:r>
        <w:rPr>
          <w:rFonts w:ascii="Arial" w:cs="Arial" w:eastAsia="Arial" w:hAnsi="Arial"/>
          <w:b/>
          <w:bCs/>
          <w:color w:val="0D2137"/>
          <w:sz w:val="34"/>
          <w:szCs w:val="34"/>
        </w:rPr>
        <w:t xml:space="preserve">7. Fusion Integration — Deferred to Phase 2 (Not Abandoned)</w:t>
      </w:r>
    </w:p>
    <w:p>
      <w:pPr>
        <w:spacing w:before="60" w:after="60"/>
      </w:pPr>
      <w:r>
        <w:rPr>
          <w:rFonts w:ascii="Arial" w:cs="Arial" w:eastAsia="Arial" w:hAnsi="Arial"/>
          <w:sz w:val="20"/>
          <w:szCs w:val="20"/>
        </w:rPr>
        <w:t xml:space="preserve">Deprioritising Fusion for Phase 1 does not mean abandoning it. Fusion represents a different market segment (SMEs, product designers, job shops) that is equally valid and addressable in Phase 2. The original arguments for Fusion remain true — it simply makes more sense to build the Phase 1 pilot on the platform our partners actually use, and expand to Fusion once the core AI engine is proven.</w:t>
      </w:r>
    </w:p>
    <w:p>
      <w:r>
        <w:rPr>
          <w:sz w:val="18"/>
          <w:szCs w:val="18"/>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BDD6EE" w:sz="1"/>
              <w:left w:val="single" w:color="BDD6EE" w:sz="1"/>
              <w:bottom w:val="single" w:color="BDD6EE" w:sz="1"/>
              <w:right w:val="single" w:color="BDD6EE" w:sz="1"/>
            </w:tcBorders>
            <w:shd w:fill="F0F7FD" w:val="clear"/>
            <w:tcMar>
              <w:top w:type="dxa" w:w="90"/>
              <w:left w:type="dxa" w:w="150"/>
              <w:bottom w:type="dxa" w:w="90"/>
              <w:right w:type="dxa" w:w="150"/>
            </w:tcMar>
          </w:tcPr>
          <w:p>
            <w:pPr>
              <w:jc w:val="left"/>
            </w:pPr>
            <w:r>
              <w:rPr>
                <w:rFonts w:ascii="Arial" w:cs="Arial" w:eastAsia="Arial" w:hAnsi="Arial"/>
                <w:b/>
                <w:bCs/>
                <w:color w:val="1F4E79"/>
                <w:sz w:val="18"/>
                <w:szCs w:val="18"/>
              </w:rPr>
              <w:t xml:space="preserve">Phase 2 Fusion Timeline</w:t>
            </w:r>
          </w:p>
        </w:tc>
        <w:tc>
          <w:tcPr>
            <w:tcW w:type="dxa" w:w="6760"/>
            <w:tcBorders>
              <w:top w:val="single" w:color="BDD6EE" w:sz="1"/>
              <w:left w:val="single" w:color="BDD6EE" w:sz="1"/>
              <w:bottom w:val="single" w:color="BDD6EE" w:sz="1"/>
              <w:right w:val="single" w:color="BDD6EE" w:sz="1"/>
            </w:tcBorders>
            <w:shd w:fill="F0F7FD" w:val="clear"/>
            <w:tcMar>
              <w:top w:type="dxa" w:w="90"/>
              <w:left w:type="dxa" w:w="150"/>
              <w:bottom w:type="dxa" w:w="90"/>
              <w:right w:type="dxa" w:w="150"/>
            </w:tcMar>
          </w:tcPr>
          <w:p>
            <w:pPr>
              <w:jc w:val="left"/>
            </w:pPr>
            <w:r>
              <w:rPr>
                <w:rFonts w:ascii="Arial" w:cs="Arial" w:eastAsia="Arial" w:hAnsi="Arial"/>
                <w:b w:val="false"/>
                <w:bCs w:val="false"/>
                <w:color w:val="1A1A1A"/>
                <w:sz w:val="18"/>
                <w:szCs w:val="18"/>
              </w:rPr>
              <w:t xml:space="preserve">Months 7–10 of Phase 2 (months 13–16 overall)</w:t>
            </w:r>
          </w:p>
        </w:tc>
      </w:tr>
      <w:tr>
        <w:tc>
          <w:tcPr>
            <w:tcW w:type="dxa" w:w="2600"/>
            <w:tcBorders>
              <w:top w:val="single" w:color="BDD6EE" w:sz="1"/>
              <w:left w:val="single" w:color="BDD6EE" w:sz="1"/>
              <w:bottom w:val="single" w:color="BDD6EE" w:sz="1"/>
              <w:right w:val="single" w:color="BDD6EE" w:sz="1"/>
            </w:tcBorders>
            <w:shd w:fill="FFFFFF" w:val="clear"/>
            <w:tcMar>
              <w:top w:type="dxa" w:w="90"/>
              <w:left w:type="dxa" w:w="150"/>
              <w:bottom w:type="dxa" w:w="90"/>
              <w:right w:type="dxa" w:w="150"/>
            </w:tcMar>
          </w:tcPr>
          <w:p>
            <w:pPr>
              <w:jc w:val="left"/>
            </w:pPr>
            <w:r>
              <w:rPr>
                <w:rFonts w:ascii="Arial" w:cs="Arial" w:eastAsia="Arial" w:hAnsi="Arial"/>
                <w:b/>
                <w:bCs/>
                <w:color w:val="1F4E79"/>
                <w:sz w:val="18"/>
                <w:szCs w:val="18"/>
              </w:rPr>
              <w:t xml:space="preserve">Effort Required</w:t>
            </w:r>
          </w:p>
        </w:tc>
        <w:tc>
          <w:tcPr>
            <w:tcW w:type="dxa" w:w="6760"/>
            <w:tcBorders>
              <w:top w:val="single" w:color="BDD6EE" w:sz="1"/>
              <w:left w:val="single" w:color="BDD6EE" w:sz="1"/>
              <w:bottom w:val="single" w:color="BDD6EE" w:sz="1"/>
              <w:right w:val="single" w:color="BDD6EE" w:sz="1"/>
            </w:tcBorders>
            <w:shd w:fill="FFFFFF" w:val="clear"/>
            <w:tcMar>
              <w:top w:type="dxa" w:w="90"/>
              <w:left w:type="dxa" w:w="150"/>
              <w:bottom w:type="dxa" w:w="90"/>
              <w:right w:type="dxa" w:w="150"/>
            </w:tcMar>
          </w:tcPr>
          <w:p>
            <w:pPr>
              <w:jc w:val="left"/>
            </w:pPr>
            <w:r>
              <w:rPr>
                <w:rFonts w:ascii="Arial" w:cs="Arial" w:eastAsia="Arial" w:hAnsi="Arial"/>
                <w:b w:val="false"/>
                <w:bCs w:val="false"/>
                <w:color w:val="1A1A1A"/>
                <w:sz w:val="18"/>
                <w:szCs w:val="18"/>
              </w:rPr>
              <w:t xml:space="preserve">LOW — cloud AI engine is platform-agnostic. Only a new thin client plug-in (Python/adsk.cam) needs to be written. Estimated 4–6 weeks of plug-in development.</w:t>
            </w:r>
          </w:p>
        </w:tc>
      </w:tr>
      <w:tr>
        <w:tc>
          <w:tcPr>
            <w:tcW w:type="dxa" w:w="2600"/>
            <w:tcBorders>
              <w:top w:val="single" w:color="BDD6EE" w:sz="1"/>
              <w:left w:val="single" w:color="BDD6EE" w:sz="1"/>
              <w:bottom w:val="single" w:color="BDD6EE" w:sz="1"/>
              <w:right w:val="single" w:color="BDD6EE" w:sz="1"/>
            </w:tcBorders>
            <w:shd w:fill="F0F7FD" w:val="clear"/>
            <w:tcMar>
              <w:top w:type="dxa" w:w="90"/>
              <w:left w:type="dxa" w:w="150"/>
              <w:bottom w:type="dxa" w:w="90"/>
              <w:right w:type="dxa" w:w="150"/>
            </w:tcMar>
          </w:tcPr>
          <w:p>
            <w:pPr>
              <w:jc w:val="left"/>
            </w:pPr>
            <w:r>
              <w:rPr>
                <w:rFonts w:ascii="Arial" w:cs="Arial" w:eastAsia="Arial" w:hAnsi="Arial"/>
                <w:b/>
                <w:bCs/>
                <w:color w:val="1F4E79"/>
                <w:sz w:val="18"/>
                <w:szCs w:val="18"/>
              </w:rPr>
              <w:t xml:space="preserve">Fusion API Advantage</w:t>
            </w:r>
          </w:p>
        </w:tc>
        <w:tc>
          <w:tcPr>
            <w:tcW w:type="dxa" w:w="6760"/>
            <w:tcBorders>
              <w:top w:val="single" w:color="BDD6EE" w:sz="1"/>
              <w:left w:val="single" w:color="BDD6EE" w:sz="1"/>
              <w:bottom w:val="single" w:color="BDD6EE" w:sz="1"/>
              <w:right w:val="single" w:color="BDD6EE" w:sz="1"/>
            </w:tcBorders>
            <w:shd w:fill="F0F7FD" w:val="clear"/>
            <w:tcMar>
              <w:top w:type="dxa" w:w="90"/>
              <w:left w:type="dxa" w:w="150"/>
              <w:bottom w:type="dxa" w:w="90"/>
              <w:right w:type="dxa" w:w="150"/>
            </w:tcMar>
          </w:tcPr>
          <w:p>
            <w:pPr>
              <w:jc w:val="left"/>
            </w:pPr>
            <w:r>
              <w:rPr>
                <w:rFonts w:ascii="Arial" w:cs="Arial" w:eastAsia="Arial" w:hAnsi="Arial"/>
                <w:b w:val="false"/>
                <w:bCs w:val="false"/>
                <w:color w:val="1A1A1A"/>
                <w:sz w:val="18"/>
                <w:szCs w:val="18"/>
              </w:rPr>
              <w:t xml:space="preserve">Fusion's Python adsk.cam API is cleaner and easier to work with than PowerMill's COM/C# stack. Phase 2 Fusion work will be faster than Phase 1 PowerMill work was.</w:t>
            </w:r>
          </w:p>
        </w:tc>
      </w:tr>
      <w:tr>
        <w:tc>
          <w:tcPr>
            <w:tcW w:type="dxa" w:w="2600"/>
            <w:tcBorders>
              <w:top w:val="single" w:color="BDD6EE" w:sz="1"/>
              <w:left w:val="single" w:color="BDD6EE" w:sz="1"/>
              <w:bottom w:val="single" w:color="BDD6EE" w:sz="1"/>
              <w:right w:val="single" w:color="BDD6EE" w:sz="1"/>
            </w:tcBorders>
            <w:shd w:fill="FFFFFF" w:val="clear"/>
            <w:tcMar>
              <w:top w:type="dxa" w:w="90"/>
              <w:left w:type="dxa" w:w="150"/>
              <w:bottom w:type="dxa" w:w="90"/>
              <w:right w:type="dxa" w:w="150"/>
            </w:tcMar>
          </w:tcPr>
          <w:p>
            <w:pPr>
              <w:jc w:val="left"/>
            </w:pPr>
            <w:r>
              <w:rPr>
                <w:rFonts w:ascii="Arial" w:cs="Arial" w:eastAsia="Arial" w:hAnsi="Arial"/>
                <w:b/>
                <w:bCs/>
                <w:color w:val="1F4E79"/>
                <w:sz w:val="18"/>
                <w:szCs w:val="18"/>
              </w:rPr>
              <w:t xml:space="preserve">Market Segment</w:t>
            </w:r>
          </w:p>
        </w:tc>
        <w:tc>
          <w:tcPr>
            <w:tcW w:type="dxa" w:w="6760"/>
            <w:tcBorders>
              <w:top w:val="single" w:color="BDD6EE" w:sz="1"/>
              <w:left w:val="single" w:color="BDD6EE" w:sz="1"/>
              <w:bottom w:val="single" w:color="BDD6EE" w:sz="1"/>
              <w:right w:val="single" w:color="BDD6EE" w:sz="1"/>
            </w:tcBorders>
            <w:shd w:fill="FFFFFF" w:val="clear"/>
            <w:tcMar>
              <w:top w:type="dxa" w:w="90"/>
              <w:left w:type="dxa" w:w="150"/>
              <w:bottom w:type="dxa" w:w="90"/>
              <w:right w:type="dxa" w:w="150"/>
            </w:tcMar>
          </w:tcPr>
          <w:p>
            <w:pPr>
              <w:jc w:val="left"/>
            </w:pPr>
            <w:r>
              <w:rPr>
                <w:rFonts w:ascii="Arial" w:cs="Arial" w:eastAsia="Arial" w:hAnsi="Arial"/>
                <w:b w:val="false"/>
                <w:bCs w:val="false"/>
                <w:color w:val="1A1A1A"/>
                <w:sz w:val="18"/>
                <w:szCs w:val="18"/>
              </w:rPr>
              <w:t xml:space="preserve">Fusion targets job shops, SMEs, and product design companies — a different buyer persona from PowerMill's complex-manufacturing specialists. Dual-platform coverage addresses the full market.</w:t>
            </w:r>
          </w:p>
        </w:tc>
      </w:tr>
      <w:tr>
        <w:tc>
          <w:tcPr>
            <w:tcW w:type="dxa" w:w="2600"/>
            <w:tcBorders>
              <w:top w:val="single" w:color="BDD6EE" w:sz="1"/>
              <w:left w:val="single" w:color="BDD6EE" w:sz="1"/>
              <w:bottom w:val="single" w:color="BDD6EE" w:sz="1"/>
              <w:right w:val="single" w:color="BDD6EE" w:sz="1"/>
            </w:tcBorders>
            <w:shd w:fill="F0F7FD" w:val="clear"/>
            <w:tcMar>
              <w:top w:type="dxa" w:w="90"/>
              <w:left w:type="dxa" w:w="150"/>
              <w:bottom w:type="dxa" w:w="90"/>
              <w:right w:type="dxa" w:w="150"/>
            </w:tcMar>
          </w:tcPr>
          <w:p>
            <w:pPr>
              <w:jc w:val="left"/>
            </w:pPr>
            <w:r>
              <w:rPr>
                <w:rFonts w:ascii="Arial" w:cs="Arial" w:eastAsia="Arial" w:hAnsi="Arial"/>
                <w:b/>
                <w:bCs/>
                <w:color w:val="1F4E79"/>
                <w:sz w:val="18"/>
                <w:szCs w:val="18"/>
              </w:rPr>
              <w:t xml:space="preserve">Shared Components</w:t>
            </w:r>
          </w:p>
        </w:tc>
        <w:tc>
          <w:tcPr>
            <w:tcW w:type="dxa" w:w="6760"/>
            <w:tcBorders>
              <w:top w:val="single" w:color="BDD6EE" w:sz="1"/>
              <w:left w:val="single" w:color="BDD6EE" w:sz="1"/>
              <w:bottom w:val="single" w:color="BDD6EE" w:sz="1"/>
              <w:right w:val="single" w:color="BDD6EE" w:sz="1"/>
            </w:tcBorders>
            <w:shd w:fill="F0F7FD" w:val="clear"/>
            <w:tcMar>
              <w:top w:type="dxa" w:w="90"/>
              <w:left w:type="dxa" w:w="150"/>
              <w:bottom w:type="dxa" w:w="90"/>
              <w:right w:type="dxa" w:w="150"/>
            </w:tcMar>
          </w:tcPr>
          <w:p>
            <w:pPr>
              <w:jc w:val="left"/>
            </w:pPr>
            <w:r>
              <w:rPr>
                <w:rFonts w:ascii="Arial" w:cs="Arial" w:eastAsia="Arial" w:hAnsi="Arial"/>
                <w:b w:val="false"/>
                <w:bCs w:val="false"/>
                <w:color w:val="1A1A1A"/>
                <w:sz w:val="18"/>
                <w:szCs w:val="18"/>
              </w:rPr>
              <w:t xml:space="preserve">100% of the AI engine, cloud API, AFR model, and physics engine built for PowerMill is directly reusable for Fusion. Zero duplication of core IP.</w:t>
            </w:r>
          </w:p>
        </w:tc>
      </w:tr>
    </w:tbl>
    <w:p>
      <w:r>
        <w:rPr>
          <w:sz w:val="18"/>
          <w:szCs w:val="18"/>
        </w:rPr>
        <w:t xml:space="preserve"/>
      </w:r>
    </w:p>
    <w:p>
      <w:pPr>
        <w:pStyle w:val="Heading1"/>
        <w:pBdr>
          <w:bottom w:val="single" w:color="2E75B6" w:sz="8" w:space="8"/>
        </w:pBdr>
        <w:spacing w:before="400" w:after="100"/>
      </w:pPr>
      <w:r>
        <w:rPr>
          <w:rFonts w:ascii="Arial" w:cs="Arial" w:eastAsia="Arial" w:hAnsi="Arial"/>
          <w:b/>
          <w:bCs/>
          <w:color w:val="0D2137"/>
          <w:sz w:val="34"/>
          <w:szCs w:val="34"/>
        </w:rPr>
        <w:t xml:space="preserve">8. Risks Specific to PowerMill Integration</w:t>
      </w:r>
    </w:p>
    <w:p>
      <w:r>
        <w:rPr>
          <w:sz w:val="18"/>
          <w:szCs w:val="18"/>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200"/>
        <w:gridCol w:w="1200"/>
        <w:gridCol w:w="4560"/>
      </w:tblGrid>
      <w:tr>
        <w:tc>
          <w:tcPr>
            <w:tcW w:type="dxa" w:w="2400"/>
            <w:tcBorders>
              <w:top w:val="single" w:color="BDD6EE" w:sz="1"/>
              <w:left w:val="single" w:color="BDD6EE" w:sz="1"/>
              <w:bottom w:val="single" w:color="BDD6EE" w:sz="1"/>
              <w:right w:val="single" w:color="BDD6EE" w:sz="1"/>
            </w:tcBorders>
            <w:shd w:fill="0D2137" w:val="clear"/>
            <w:tcMar>
              <w:top w:type="dxa" w:w="90"/>
              <w:left w:type="dxa" w:w="150"/>
              <w:bottom w:type="dxa" w:w="90"/>
              <w:right w:type="dxa" w:w="150"/>
            </w:tcMar>
          </w:tcPr>
          <w:p>
            <w:pPr>
              <w:jc w:val="left"/>
            </w:pPr>
            <w:r>
              <w:rPr>
                <w:rFonts w:ascii="Arial" w:cs="Arial" w:eastAsia="Arial" w:hAnsi="Arial"/>
                <w:b/>
                <w:bCs/>
                <w:color w:val="FFFFFF"/>
                <w:sz w:val="18"/>
                <w:szCs w:val="18"/>
              </w:rPr>
              <w:t xml:space="preserve">Risk</w:t>
            </w:r>
          </w:p>
        </w:tc>
        <w:tc>
          <w:tcPr>
            <w:tcW w:type="dxa" w:w="1200"/>
            <w:tcBorders>
              <w:top w:val="single" w:color="BDD6EE" w:sz="1"/>
              <w:left w:val="single" w:color="BDD6EE" w:sz="1"/>
              <w:bottom w:val="single" w:color="BDD6EE" w:sz="1"/>
              <w:right w:val="single" w:color="BDD6EE" w:sz="1"/>
            </w:tcBorders>
            <w:shd w:fill="0D2137" w:val="clear"/>
            <w:tcMar>
              <w:top w:type="dxa" w:w="90"/>
              <w:left w:type="dxa" w:w="150"/>
              <w:bottom w:type="dxa" w:w="90"/>
              <w:right w:type="dxa" w:w="150"/>
            </w:tcMar>
          </w:tcPr>
          <w:p>
            <w:pPr>
              <w:jc w:val="left"/>
            </w:pPr>
            <w:r>
              <w:rPr>
                <w:rFonts w:ascii="Arial" w:cs="Arial" w:eastAsia="Arial" w:hAnsi="Arial"/>
                <w:b/>
                <w:bCs/>
                <w:color w:val="FFFFFF"/>
                <w:sz w:val="18"/>
                <w:szCs w:val="18"/>
              </w:rPr>
              <w:t xml:space="preserve">Likelihood</w:t>
            </w:r>
          </w:p>
        </w:tc>
        <w:tc>
          <w:tcPr>
            <w:tcW w:type="dxa" w:w="1200"/>
            <w:tcBorders>
              <w:top w:val="single" w:color="BDD6EE" w:sz="1"/>
              <w:left w:val="single" w:color="BDD6EE" w:sz="1"/>
              <w:bottom w:val="single" w:color="BDD6EE" w:sz="1"/>
              <w:right w:val="single" w:color="BDD6EE" w:sz="1"/>
            </w:tcBorders>
            <w:shd w:fill="0D2137" w:val="clear"/>
            <w:tcMar>
              <w:top w:type="dxa" w:w="90"/>
              <w:left w:type="dxa" w:w="150"/>
              <w:bottom w:type="dxa" w:w="90"/>
              <w:right w:type="dxa" w:w="150"/>
            </w:tcMar>
          </w:tcPr>
          <w:p>
            <w:pPr>
              <w:jc w:val="left"/>
            </w:pPr>
            <w:r>
              <w:rPr>
                <w:rFonts w:ascii="Arial" w:cs="Arial" w:eastAsia="Arial" w:hAnsi="Arial"/>
                <w:b/>
                <w:bCs/>
                <w:color w:val="FFFFFF"/>
                <w:sz w:val="18"/>
                <w:szCs w:val="18"/>
              </w:rPr>
              <w:t xml:space="preserve">Impact</w:t>
            </w:r>
          </w:p>
        </w:tc>
        <w:tc>
          <w:tcPr>
            <w:tcW w:type="dxa" w:w="4560"/>
            <w:tcBorders>
              <w:top w:val="single" w:color="BDD6EE" w:sz="1"/>
              <w:left w:val="single" w:color="BDD6EE" w:sz="1"/>
              <w:bottom w:val="single" w:color="BDD6EE" w:sz="1"/>
              <w:right w:val="single" w:color="BDD6EE" w:sz="1"/>
            </w:tcBorders>
            <w:shd w:fill="0D2137" w:val="clear"/>
            <w:tcMar>
              <w:top w:type="dxa" w:w="90"/>
              <w:left w:type="dxa" w:w="150"/>
              <w:bottom w:type="dxa" w:w="90"/>
              <w:right w:type="dxa" w:w="150"/>
            </w:tcMar>
          </w:tcPr>
          <w:p>
            <w:pPr>
              <w:jc w:val="left"/>
            </w:pPr>
            <w:r>
              <w:rPr>
                <w:rFonts w:ascii="Arial" w:cs="Arial" w:eastAsia="Arial" w:hAnsi="Arial"/>
                <w:b/>
                <w:bCs/>
                <w:color w:val="FFFFFF"/>
                <w:sz w:val="18"/>
                <w:szCs w:val="18"/>
              </w:rPr>
              <w:t xml:space="preserve">Mitigation</w:t>
            </w:r>
          </w:p>
        </w:tc>
      </w:tr>
      <w:tr>
        <w:tc>
          <w:tcPr>
            <w:tcW w:type="dxa" w:w="2400"/>
            <w:tcBorders>
              <w:top w:val="single" w:color="BDD6EE" w:sz="1"/>
              <w:left w:val="single" w:color="BDD6EE" w:sz="1"/>
              <w:bottom w:val="single" w:color="BDD6EE" w:sz="1"/>
              <w:right w:val="single" w:color="BDD6EE" w:sz="1"/>
            </w:tcBorders>
            <w:shd w:fill="F0F7FD" w:val="clear"/>
            <w:tcMar>
              <w:top w:type="dxa" w:w="90"/>
              <w:left w:type="dxa" w:w="150"/>
              <w:bottom w:type="dxa" w:w="90"/>
              <w:right w:type="dxa" w:w="150"/>
            </w:tcMar>
          </w:tcPr>
          <w:p>
            <w:pPr>
              <w:jc w:val="left"/>
            </w:pPr>
            <w:r>
              <w:rPr>
                <w:rFonts w:ascii="Arial" w:cs="Arial" w:eastAsia="Arial" w:hAnsi="Arial"/>
                <w:b w:val="false"/>
                <w:bCs w:val="false"/>
                <w:color w:val="1A1A1A"/>
                <w:sz w:val="18"/>
                <w:szCs w:val="18"/>
              </w:rPr>
              <w:t xml:space="preserve">PowerMill API is deprecated or absorbed into Fusion CAM, breaking our integration</w:t>
            </w:r>
          </w:p>
        </w:tc>
        <w:tc>
          <w:tcPr>
            <w:tcW w:type="dxa" w:w="1200"/>
            <w:tcBorders>
              <w:top w:val="single" w:color="BDD6EE" w:sz="1"/>
              <w:left w:val="single" w:color="BDD6EE" w:sz="1"/>
              <w:bottom w:val="single" w:color="BDD6EE" w:sz="1"/>
              <w:right w:val="single" w:color="BDD6EE" w:sz="1"/>
            </w:tcBorders>
            <w:shd w:fill="F0F7FD" w:val="clear"/>
            <w:tcMar>
              <w:top w:type="dxa" w:w="90"/>
              <w:left w:type="dxa" w:w="150"/>
              <w:bottom w:type="dxa" w:w="90"/>
              <w:right w:type="dxa" w:w="150"/>
            </w:tcMar>
          </w:tcPr>
          <w:p>
            <w:pPr>
              <w:jc w:val="left"/>
            </w:pPr>
            <w:r>
              <w:rPr>
                <w:rFonts w:ascii="Arial" w:cs="Arial" w:eastAsia="Arial" w:hAnsi="Arial"/>
                <w:b w:val="false"/>
                <w:bCs w:val="false"/>
                <w:color w:val="1A1A1A"/>
                <w:sz w:val="18"/>
                <w:szCs w:val="18"/>
              </w:rPr>
              <w:t xml:space="preserve">LOW — 3–5 year horizon</w:t>
            </w:r>
          </w:p>
        </w:tc>
        <w:tc>
          <w:tcPr>
            <w:tcW w:type="dxa" w:w="1200"/>
            <w:tcBorders>
              <w:top w:val="single" w:color="BDD6EE" w:sz="1"/>
              <w:left w:val="single" w:color="BDD6EE" w:sz="1"/>
              <w:bottom w:val="single" w:color="BDD6EE" w:sz="1"/>
              <w:right w:val="single" w:color="BDD6EE" w:sz="1"/>
            </w:tcBorders>
            <w:shd w:fill="F0F7FD" w:val="clear"/>
            <w:tcMar>
              <w:top w:type="dxa" w:w="90"/>
              <w:left w:type="dxa" w:w="150"/>
              <w:bottom w:type="dxa" w:w="90"/>
              <w:right w:type="dxa" w:w="150"/>
            </w:tcMar>
          </w:tcPr>
          <w:p>
            <w:pPr>
              <w:jc w:val="left"/>
            </w:pPr>
            <w:r>
              <w:rPr>
                <w:rFonts w:ascii="Arial" w:cs="Arial" w:eastAsia="Arial" w:hAnsi="Arial"/>
                <w:b w:val="false"/>
                <w:bCs w:val="false"/>
                <w:color w:val="1A1A1A"/>
                <w:sz w:val="18"/>
                <w:szCs w:val="18"/>
              </w:rPr>
              <w:t xml:space="preserve">HIGH</w:t>
            </w:r>
          </w:p>
        </w:tc>
        <w:tc>
          <w:tcPr>
            <w:tcW w:type="dxa" w:w="4560"/>
            <w:tcBorders>
              <w:top w:val="single" w:color="BDD6EE" w:sz="1"/>
              <w:left w:val="single" w:color="BDD6EE" w:sz="1"/>
              <w:bottom w:val="single" w:color="BDD6EE" w:sz="1"/>
              <w:right w:val="single" w:color="BDD6EE" w:sz="1"/>
            </w:tcBorders>
            <w:shd w:fill="F0F7FD" w:val="clear"/>
            <w:tcMar>
              <w:top w:type="dxa" w:w="90"/>
              <w:left w:type="dxa" w:w="150"/>
              <w:bottom w:type="dxa" w:w="90"/>
              <w:right w:type="dxa" w:w="150"/>
            </w:tcMar>
          </w:tcPr>
          <w:p>
            <w:pPr>
              <w:jc w:val="left"/>
            </w:pPr>
            <w:r>
              <w:rPr>
                <w:rFonts w:ascii="Arial" w:cs="Arial" w:eastAsia="Arial" w:hAnsi="Arial"/>
                <w:b w:val="false"/>
                <w:bCs w:val="false"/>
                <w:color w:val="1A1A1A"/>
                <w:sz w:val="18"/>
                <w:szCs w:val="18"/>
              </w:rPr>
              <w:t xml:space="preserve">PowerMill has a distinct enterprise user base that Autodesk will not alienate. Monitor Autodesk product announcements. Design our integration to be macro-centric (most stable layer) rather than COM-API-centric.</w:t>
            </w:r>
          </w:p>
        </w:tc>
      </w:tr>
      <w:tr>
        <w:tc>
          <w:tcPr>
            <w:tcW w:type="dxa" w:w="2400"/>
            <w:tcBorders>
              <w:top w:val="single" w:color="BDD6EE" w:sz="1"/>
              <w:left w:val="single" w:color="BDD6EE" w:sz="1"/>
              <w:bottom w:val="single" w:color="BDD6EE" w:sz="1"/>
              <w:right w:val="single" w:color="BDD6EE" w:sz="1"/>
            </w:tcBorders>
            <w:shd w:fill="FFFFFF" w:val="clear"/>
            <w:tcMar>
              <w:top w:type="dxa" w:w="90"/>
              <w:left w:type="dxa" w:w="150"/>
              <w:bottom w:type="dxa" w:w="90"/>
              <w:right w:type="dxa" w:w="150"/>
            </w:tcMar>
          </w:tcPr>
          <w:p>
            <w:pPr>
              <w:jc w:val="left"/>
            </w:pPr>
            <w:r>
              <w:rPr>
                <w:rFonts w:ascii="Arial" w:cs="Arial" w:eastAsia="Arial" w:hAnsi="Arial"/>
                <w:b w:val="false"/>
                <w:bCs w:val="false"/>
                <w:color w:val="1A1A1A"/>
                <w:sz w:val="18"/>
                <w:szCs w:val="18"/>
              </w:rPr>
              <w:t xml:space="preserve">Partner shops using old PowerMill versions (pre-2020) with different API behavior</w:t>
            </w:r>
          </w:p>
        </w:tc>
        <w:tc>
          <w:tcPr>
            <w:tcW w:type="dxa" w:w="1200"/>
            <w:tcBorders>
              <w:top w:val="single" w:color="BDD6EE" w:sz="1"/>
              <w:left w:val="single" w:color="BDD6EE" w:sz="1"/>
              <w:bottom w:val="single" w:color="BDD6EE" w:sz="1"/>
              <w:right w:val="single" w:color="BDD6EE" w:sz="1"/>
            </w:tcBorders>
            <w:shd w:fill="FFFFFF" w:val="clear"/>
            <w:tcMar>
              <w:top w:type="dxa" w:w="90"/>
              <w:left w:type="dxa" w:w="150"/>
              <w:bottom w:type="dxa" w:w="90"/>
              <w:right w:type="dxa" w:w="150"/>
            </w:tcMar>
          </w:tcPr>
          <w:p>
            <w:pPr>
              <w:jc w:val="left"/>
            </w:pPr>
            <w:r>
              <w:rPr>
                <w:rFonts w:ascii="Arial" w:cs="Arial" w:eastAsia="Arial" w:hAnsi="Arial"/>
                <w:b w:val="false"/>
                <w:bCs w:val="false"/>
                <w:color w:val="1A1A1A"/>
                <w:sz w:val="18"/>
                <w:szCs w:val="18"/>
              </w:rPr>
              <w:t xml:space="preserve">MEDIUM</w:t>
            </w:r>
          </w:p>
        </w:tc>
        <w:tc>
          <w:tcPr>
            <w:tcW w:type="dxa" w:w="1200"/>
            <w:tcBorders>
              <w:top w:val="single" w:color="BDD6EE" w:sz="1"/>
              <w:left w:val="single" w:color="BDD6EE" w:sz="1"/>
              <w:bottom w:val="single" w:color="BDD6EE" w:sz="1"/>
              <w:right w:val="single" w:color="BDD6EE" w:sz="1"/>
            </w:tcBorders>
            <w:shd w:fill="FFFFFF" w:val="clear"/>
            <w:tcMar>
              <w:top w:type="dxa" w:w="90"/>
              <w:left w:type="dxa" w:w="150"/>
              <w:bottom w:type="dxa" w:w="90"/>
              <w:right w:type="dxa" w:w="150"/>
            </w:tcMar>
          </w:tcPr>
          <w:p>
            <w:pPr>
              <w:jc w:val="left"/>
            </w:pPr>
            <w:r>
              <w:rPr>
                <w:rFonts w:ascii="Arial" w:cs="Arial" w:eastAsia="Arial" w:hAnsi="Arial"/>
                <w:b w:val="false"/>
                <w:bCs w:val="false"/>
                <w:color w:val="1A1A1A"/>
                <w:sz w:val="18"/>
                <w:szCs w:val="18"/>
              </w:rPr>
              <w:t xml:space="preserve">MEDIUM</w:t>
            </w:r>
          </w:p>
        </w:tc>
        <w:tc>
          <w:tcPr>
            <w:tcW w:type="dxa" w:w="4560"/>
            <w:tcBorders>
              <w:top w:val="single" w:color="BDD6EE" w:sz="1"/>
              <w:left w:val="single" w:color="BDD6EE" w:sz="1"/>
              <w:bottom w:val="single" w:color="BDD6EE" w:sz="1"/>
              <w:right w:val="single" w:color="BDD6EE" w:sz="1"/>
            </w:tcBorders>
            <w:shd w:fill="FFFFFF" w:val="clear"/>
            <w:tcMar>
              <w:top w:type="dxa" w:w="90"/>
              <w:left w:type="dxa" w:w="150"/>
              <w:bottom w:type="dxa" w:w="90"/>
              <w:right w:type="dxa" w:w="150"/>
            </w:tcMar>
          </w:tcPr>
          <w:p>
            <w:pPr>
              <w:jc w:val="left"/>
            </w:pPr>
            <w:r>
              <w:rPr>
                <w:rFonts w:ascii="Arial" w:cs="Arial" w:eastAsia="Arial" w:hAnsi="Arial"/>
                <w:b w:val="false"/>
                <w:bCs w:val="false"/>
                <w:color w:val="1A1A1A"/>
                <w:sz w:val="18"/>
                <w:szCs w:val="18"/>
              </w:rPr>
              <w:t xml:space="preserve">Conduct version audit of partner shops in Week 1 before writing any plug-in code. All development targets the oldest version in use.</w:t>
            </w:r>
          </w:p>
        </w:tc>
      </w:tr>
      <w:tr>
        <w:tc>
          <w:tcPr>
            <w:tcW w:type="dxa" w:w="2400"/>
            <w:tcBorders>
              <w:top w:val="single" w:color="BDD6EE" w:sz="1"/>
              <w:left w:val="single" w:color="BDD6EE" w:sz="1"/>
              <w:bottom w:val="single" w:color="BDD6EE" w:sz="1"/>
              <w:right w:val="single" w:color="BDD6EE" w:sz="1"/>
            </w:tcBorders>
            <w:shd w:fill="F0F7FD" w:val="clear"/>
            <w:tcMar>
              <w:top w:type="dxa" w:w="90"/>
              <w:left w:type="dxa" w:w="150"/>
              <w:bottom w:type="dxa" w:w="90"/>
              <w:right w:type="dxa" w:w="150"/>
            </w:tcMar>
          </w:tcPr>
          <w:p>
            <w:pPr>
              <w:jc w:val="left"/>
            </w:pPr>
            <w:r>
              <w:rPr>
                <w:rFonts w:ascii="Arial" w:cs="Arial" w:eastAsia="Arial" w:hAnsi="Arial"/>
                <w:b w:val="false"/>
                <w:bCs w:val="false"/>
                <w:color w:val="1A1A1A"/>
                <w:sz w:val="18"/>
                <w:szCs w:val="18"/>
              </w:rPr>
              <w:t xml:space="preserve">C# developer not available on team (original plan assumed Python developer for Fusion)</w:t>
            </w:r>
          </w:p>
        </w:tc>
        <w:tc>
          <w:tcPr>
            <w:tcW w:type="dxa" w:w="1200"/>
            <w:tcBorders>
              <w:top w:val="single" w:color="BDD6EE" w:sz="1"/>
              <w:left w:val="single" w:color="BDD6EE" w:sz="1"/>
              <w:bottom w:val="single" w:color="BDD6EE" w:sz="1"/>
              <w:right w:val="single" w:color="BDD6EE" w:sz="1"/>
            </w:tcBorders>
            <w:shd w:fill="F0F7FD" w:val="clear"/>
            <w:tcMar>
              <w:top w:type="dxa" w:w="90"/>
              <w:left w:type="dxa" w:w="150"/>
              <w:bottom w:type="dxa" w:w="90"/>
              <w:right w:type="dxa" w:w="150"/>
            </w:tcMar>
          </w:tcPr>
          <w:p>
            <w:pPr>
              <w:jc w:val="left"/>
            </w:pPr>
            <w:r>
              <w:rPr>
                <w:rFonts w:ascii="Arial" w:cs="Arial" w:eastAsia="Arial" w:hAnsi="Arial"/>
                <w:b w:val="false"/>
                <w:bCs w:val="false"/>
                <w:color w:val="1A1A1A"/>
                <w:sz w:val="18"/>
                <w:szCs w:val="18"/>
              </w:rPr>
              <w:t xml:space="preserve">MEDIUM</w:t>
            </w:r>
          </w:p>
        </w:tc>
        <w:tc>
          <w:tcPr>
            <w:tcW w:type="dxa" w:w="1200"/>
            <w:tcBorders>
              <w:top w:val="single" w:color="BDD6EE" w:sz="1"/>
              <w:left w:val="single" w:color="BDD6EE" w:sz="1"/>
              <w:bottom w:val="single" w:color="BDD6EE" w:sz="1"/>
              <w:right w:val="single" w:color="BDD6EE" w:sz="1"/>
            </w:tcBorders>
            <w:shd w:fill="F0F7FD" w:val="clear"/>
            <w:tcMar>
              <w:top w:type="dxa" w:w="90"/>
              <w:left w:type="dxa" w:w="150"/>
              <w:bottom w:type="dxa" w:w="90"/>
              <w:right w:type="dxa" w:w="150"/>
            </w:tcMar>
          </w:tcPr>
          <w:p>
            <w:pPr>
              <w:jc w:val="left"/>
            </w:pPr>
            <w:r>
              <w:rPr>
                <w:rFonts w:ascii="Arial" w:cs="Arial" w:eastAsia="Arial" w:hAnsi="Arial"/>
                <w:b w:val="false"/>
                <w:bCs w:val="false"/>
                <w:color w:val="1A1A1A"/>
                <w:sz w:val="18"/>
                <w:szCs w:val="18"/>
              </w:rPr>
              <w:t xml:space="preserve">HIGH</w:t>
            </w:r>
          </w:p>
        </w:tc>
        <w:tc>
          <w:tcPr>
            <w:tcW w:type="dxa" w:w="4560"/>
            <w:tcBorders>
              <w:top w:val="single" w:color="BDD6EE" w:sz="1"/>
              <w:left w:val="single" w:color="BDD6EE" w:sz="1"/>
              <w:bottom w:val="single" w:color="BDD6EE" w:sz="1"/>
              <w:right w:val="single" w:color="BDD6EE" w:sz="1"/>
            </w:tcBorders>
            <w:shd w:fill="F0F7FD" w:val="clear"/>
            <w:tcMar>
              <w:top w:type="dxa" w:w="90"/>
              <w:left w:type="dxa" w:w="150"/>
              <w:bottom w:type="dxa" w:w="90"/>
              <w:right w:type="dxa" w:w="150"/>
            </w:tcMar>
          </w:tcPr>
          <w:p>
            <w:pPr>
              <w:jc w:val="left"/>
            </w:pPr>
            <w:r>
              <w:rPr>
                <w:rFonts w:ascii="Arial" w:cs="Arial" w:eastAsia="Arial" w:hAnsi="Arial"/>
                <w:b w:val="false"/>
                <w:bCs w:val="false"/>
                <w:color w:val="1A1A1A"/>
                <w:sz w:val="18"/>
                <w:szCs w:val="18"/>
              </w:rPr>
              <w:t xml:space="preserve">Hire or contract a Windows/.NET developer with COM experience for Months 1–4. This is a narrow, well-defined skill set — not difficult to source. Alternatively, the lead engineer upskills in C# (2–3 week ramp from Python background).</w:t>
            </w:r>
          </w:p>
        </w:tc>
      </w:tr>
      <w:tr>
        <w:tc>
          <w:tcPr>
            <w:tcW w:type="dxa" w:w="2400"/>
            <w:tcBorders>
              <w:top w:val="single" w:color="BDD6EE" w:sz="1"/>
              <w:left w:val="single" w:color="BDD6EE" w:sz="1"/>
              <w:bottom w:val="single" w:color="BDD6EE" w:sz="1"/>
              <w:right w:val="single" w:color="BDD6EE" w:sz="1"/>
            </w:tcBorders>
            <w:shd w:fill="FFFFFF" w:val="clear"/>
            <w:tcMar>
              <w:top w:type="dxa" w:w="90"/>
              <w:left w:type="dxa" w:w="150"/>
              <w:bottom w:type="dxa" w:w="90"/>
              <w:right w:type="dxa" w:w="150"/>
            </w:tcMar>
          </w:tcPr>
          <w:p>
            <w:pPr>
              <w:jc w:val="left"/>
            </w:pPr>
            <w:r>
              <w:rPr>
                <w:rFonts w:ascii="Arial" w:cs="Arial" w:eastAsia="Arial" w:hAnsi="Arial"/>
                <w:b w:val="false"/>
                <w:bCs w:val="false"/>
                <w:color w:val="1A1A1A"/>
                <w:sz w:val="18"/>
                <w:szCs w:val="18"/>
              </w:rPr>
              <w:t xml:space="preserve">Toolpath template (.ptf) library needs to be built from scratch — Autodesk does not provide a comprehensive public set</w:t>
            </w:r>
          </w:p>
        </w:tc>
        <w:tc>
          <w:tcPr>
            <w:tcW w:type="dxa" w:w="1200"/>
            <w:tcBorders>
              <w:top w:val="single" w:color="BDD6EE" w:sz="1"/>
              <w:left w:val="single" w:color="BDD6EE" w:sz="1"/>
              <w:bottom w:val="single" w:color="BDD6EE" w:sz="1"/>
              <w:right w:val="single" w:color="BDD6EE" w:sz="1"/>
            </w:tcBorders>
            <w:shd w:fill="FFFFFF" w:val="clear"/>
            <w:tcMar>
              <w:top w:type="dxa" w:w="90"/>
              <w:left w:type="dxa" w:w="150"/>
              <w:bottom w:type="dxa" w:w="90"/>
              <w:right w:type="dxa" w:w="150"/>
            </w:tcMar>
          </w:tcPr>
          <w:p>
            <w:pPr>
              <w:jc w:val="left"/>
            </w:pPr>
            <w:r>
              <w:rPr>
                <w:rFonts w:ascii="Arial" w:cs="Arial" w:eastAsia="Arial" w:hAnsi="Arial"/>
                <w:b w:val="false"/>
                <w:bCs w:val="false"/>
                <w:color w:val="1A1A1A"/>
                <w:sz w:val="18"/>
                <w:szCs w:val="18"/>
              </w:rPr>
              <w:t xml:space="preserve">HIGH — confirmed</w:t>
            </w:r>
          </w:p>
        </w:tc>
        <w:tc>
          <w:tcPr>
            <w:tcW w:type="dxa" w:w="1200"/>
            <w:tcBorders>
              <w:top w:val="single" w:color="BDD6EE" w:sz="1"/>
              <w:left w:val="single" w:color="BDD6EE" w:sz="1"/>
              <w:bottom w:val="single" w:color="BDD6EE" w:sz="1"/>
              <w:right w:val="single" w:color="BDD6EE" w:sz="1"/>
            </w:tcBorders>
            <w:shd w:fill="FFFFFF" w:val="clear"/>
            <w:tcMar>
              <w:top w:type="dxa" w:w="90"/>
              <w:left w:type="dxa" w:w="150"/>
              <w:bottom w:type="dxa" w:w="90"/>
              <w:right w:type="dxa" w:w="150"/>
            </w:tcMar>
          </w:tcPr>
          <w:p>
            <w:pPr>
              <w:jc w:val="left"/>
            </w:pPr>
            <w:r>
              <w:rPr>
                <w:rFonts w:ascii="Arial" w:cs="Arial" w:eastAsia="Arial" w:hAnsi="Arial"/>
                <w:b w:val="false"/>
                <w:bCs w:val="false"/>
                <w:color w:val="1A1A1A"/>
                <w:sz w:val="18"/>
                <w:szCs w:val="18"/>
              </w:rPr>
              <w:t xml:space="preserve">MEDIUM</w:t>
            </w:r>
          </w:p>
        </w:tc>
        <w:tc>
          <w:tcPr>
            <w:tcW w:type="dxa" w:w="4560"/>
            <w:tcBorders>
              <w:top w:val="single" w:color="BDD6EE" w:sz="1"/>
              <w:left w:val="single" w:color="BDD6EE" w:sz="1"/>
              <w:bottom w:val="single" w:color="BDD6EE" w:sz="1"/>
              <w:right w:val="single" w:color="BDD6EE" w:sz="1"/>
            </w:tcBorders>
            <w:shd w:fill="FFFFFF" w:val="clear"/>
            <w:tcMar>
              <w:top w:type="dxa" w:w="90"/>
              <w:left w:type="dxa" w:w="150"/>
              <w:bottom w:type="dxa" w:w="90"/>
              <w:right w:type="dxa" w:w="150"/>
            </w:tcMar>
          </w:tcPr>
          <w:p>
            <w:pPr>
              <w:jc w:val="left"/>
            </w:pPr>
            <w:r>
              <w:rPr>
                <w:rFonts w:ascii="Arial" w:cs="Arial" w:eastAsia="Arial" w:hAnsi="Arial"/>
                <w:b w:val="false"/>
                <w:bCs w:val="false"/>
                <w:color w:val="1A1A1A"/>
                <w:sz w:val="18"/>
                <w:szCs w:val="18"/>
              </w:rPr>
              <w:t xml:space="preserve">Work directly with the pilot shop's senior CNC programmers in Month 1 to capture their existing PowerMill toolpath templates as .ptf files. These become our baseline template library. This is also a relationship-building activity with the pilot shop.</w:t>
            </w:r>
          </w:p>
        </w:tc>
      </w:tr>
      <w:tr>
        <w:tc>
          <w:tcPr>
            <w:tcW w:type="dxa" w:w="2400"/>
            <w:tcBorders>
              <w:top w:val="single" w:color="BDD6EE" w:sz="1"/>
              <w:left w:val="single" w:color="BDD6EE" w:sz="1"/>
              <w:bottom w:val="single" w:color="BDD6EE" w:sz="1"/>
              <w:right w:val="single" w:color="BDD6EE" w:sz="1"/>
            </w:tcBorders>
            <w:shd w:fill="F0F7FD" w:val="clear"/>
            <w:tcMar>
              <w:top w:type="dxa" w:w="90"/>
              <w:left w:type="dxa" w:w="150"/>
              <w:bottom w:type="dxa" w:w="90"/>
              <w:right w:type="dxa" w:w="150"/>
            </w:tcMar>
          </w:tcPr>
          <w:p>
            <w:pPr>
              <w:jc w:val="left"/>
            </w:pPr>
            <w:r>
              <w:rPr>
                <w:rFonts w:ascii="Arial" w:cs="Arial" w:eastAsia="Arial" w:hAnsi="Arial"/>
                <w:b w:val="false"/>
                <w:bCs w:val="false"/>
                <w:color w:val="1A1A1A"/>
                <w:sz w:val="18"/>
                <w:szCs w:val="18"/>
              </w:rPr>
              <w:t xml:space="preserve">Autodesk suddenly announces an AI product for PowerMill, shrinking our window</w:t>
            </w:r>
          </w:p>
        </w:tc>
        <w:tc>
          <w:tcPr>
            <w:tcW w:type="dxa" w:w="1200"/>
            <w:tcBorders>
              <w:top w:val="single" w:color="BDD6EE" w:sz="1"/>
              <w:left w:val="single" w:color="BDD6EE" w:sz="1"/>
              <w:bottom w:val="single" w:color="BDD6EE" w:sz="1"/>
              <w:right w:val="single" w:color="BDD6EE" w:sz="1"/>
            </w:tcBorders>
            <w:shd w:fill="F0F7FD" w:val="clear"/>
            <w:tcMar>
              <w:top w:type="dxa" w:w="90"/>
              <w:left w:type="dxa" w:w="150"/>
              <w:bottom w:type="dxa" w:w="90"/>
              <w:right w:type="dxa" w:w="150"/>
            </w:tcMar>
          </w:tcPr>
          <w:p>
            <w:pPr>
              <w:jc w:val="left"/>
            </w:pPr>
            <w:r>
              <w:rPr>
                <w:rFonts w:ascii="Arial" w:cs="Arial" w:eastAsia="Arial" w:hAnsi="Arial"/>
                <w:b w:val="false"/>
                <w:bCs w:val="false"/>
                <w:color w:val="1A1A1A"/>
                <w:sz w:val="18"/>
                <w:szCs w:val="18"/>
              </w:rPr>
              <w:t xml:space="preserve">LOW — contradicts Aug 2025 statement</w:t>
            </w:r>
          </w:p>
        </w:tc>
        <w:tc>
          <w:tcPr>
            <w:tcW w:type="dxa" w:w="1200"/>
            <w:tcBorders>
              <w:top w:val="single" w:color="BDD6EE" w:sz="1"/>
              <w:left w:val="single" w:color="BDD6EE" w:sz="1"/>
              <w:bottom w:val="single" w:color="BDD6EE" w:sz="1"/>
              <w:right w:val="single" w:color="BDD6EE" w:sz="1"/>
            </w:tcBorders>
            <w:shd w:fill="F0F7FD" w:val="clear"/>
            <w:tcMar>
              <w:top w:type="dxa" w:w="90"/>
              <w:left w:type="dxa" w:w="150"/>
              <w:bottom w:type="dxa" w:w="90"/>
              <w:right w:type="dxa" w:w="150"/>
            </w:tcMar>
          </w:tcPr>
          <w:p>
            <w:pPr>
              <w:jc w:val="left"/>
            </w:pPr>
            <w:r>
              <w:rPr>
                <w:rFonts w:ascii="Arial" w:cs="Arial" w:eastAsia="Arial" w:hAnsi="Arial"/>
                <w:b w:val="false"/>
                <w:bCs w:val="false"/>
                <w:color w:val="1A1A1A"/>
                <w:sz w:val="18"/>
                <w:szCs w:val="18"/>
              </w:rPr>
              <w:t xml:space="preserve">HIGH</w:t>
            </w:r>
          </w:p>
        </w:tc>
        <w:tc>
          <w:tcPr>
            <w:tcW w:type="dxa" w:w="4560"/>
            <w:tcBorders>
              <w:top w:val="single" w:color="BDD6EE" w:sz="1"/>
              <w:left w:val="single" w:color="BDD6EE" w:sz="1"/>
              <w:bottom w:val="single" w:color="BDD6EE" w:sz="1"/>
              <w:right w:val="single" w:color="BDD6EE" w:sz="1"/>
            </w:tcBorders>
            <w:shd w:fill="F0F7FD" w:val="clear"/>
            <w:tcMar>
              <w:top w:type="dxa" w:w="90"/>
              <w:left w:type="dxa" w:w="150"/>
              <w:bottom w:type="dxa" w:w="90"/>
              <w:right w:type="dxa" w:w="150"/>
            </w:tcMar>
          </w:tcPr>
          <w:p>
            <w:pPr>
              <w:jc w:val="left"/>
            </w:pPr>
            <w:r>
              <w:rPr>
                <w:rFonts w:ascii="Arial" w:cs="Arial" w:eastAsia="Arial" w:hAnsi="Arial"/>
                <w:b w:val="false"/>
                <w:bCs w:val="false"/>
                <w:color w:val="1A1A1A"/>
                <w:sz w:val="18"/>
                <w:szCs w:val="18"/>
              </w:rPr>
              <w:t xml:space="preserve">We have at least 12–18 months of confirmed open runway based on their August 2025 statement. Move fast. If they announce AI in PowerMill, our Phase 1 pilot data and customer relationships become an acquisition target.</w:t>
            </w:r>
          </w:p>
        </w:tc>
      </w:tr>
    </w:tbl>
    <w:p>
      <w:r>
        <w:rPr>
          <w:sz w:val="18"/>
          <w:szCs w:val="18"/>
        </w:rPr>
        <w:t xml:space="preserve"/>
      </w:r>
    </w:p>
    <w:p>
      <w:pPr>
        <w:pStyle w:val="Heading1"/>
        <w:pBdr>
          <w:bottom w:val="single" w:color="2E75B6" w:sz="8" w:space="8"/>
        </w:pBdr>
        <w:spacing w:before="400" w:after="100"/>
      </w:pPr>
      <w:r>
        <w:rPr>
          <w:rFonts w:ascii="Arial" w:cs="Arial" w:eastAsia="Arial" w:hAnsi="Arial"/>
          <w:b/>
          <w:bCs/>
          <w:color w:val="0D2137"/>
          <w:sz w:val="34"/>
          <w:szCs w:val="34"/>
        </w:rPr>
        <w:t xml:space="preserve">9. Summary &amp; Formal Decision</w:t>
      </w:r>
    </w:p>
    <w:p>
      <w:r>
        <w:rPr>
          <w:sz w:val="18"/>
          <w:szCs w:val="18"/>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DD6EE" w:sz="1"/>
              <w:left w:val="single" w:color="BDD6EE" w:sz="1"/>
              <w:bottom w:val="single" w:color="BDD6EE" w:sz="1"/>
              <w:right w:val="single" w:color="BDD6EE" w:sz="1"/>
            </w:tcBorders>
            <w:shd w:fill="E8F5EC" w:val="clear"/>
            <w:tcMar>
              <w:top w:type="dxa" w:w="130"/>
              <w:left w:type="dxa" w:w="220"/>
              <w:bottom w:type="dxa" w:w="130"/>
              <w:right w:type="dxa" w:w="220"/>
            </w:tcMar>
          </w:tcPr>
          <w:p>
            <w:pPr>
              <w:spacing w:after="60"/>
            </w:pPr>
            <w:r>
              <w:rPr>
                <w:rFonts w:ascii="Arial" w:cs="Arial" w:eastAsia="Arial" w:hAnsi="Arial"/>
                <w:b/>
                <w:bCs/>
                <w:color w:val="1B6B2F"/>
                <w:sz w:val="22"/>
                <w:szCs w:val="22"/>
              </w:rPr>
              <w:t xml:space="preserve">✓  Formal Decision: Adopt Autodesk PowerMill as Phase 1 Primary Integration Target</w:t>
            </w:r>
          </w:p>
          <w:p>
            <w:r>
              <w:rPr>
                <w:rFonts w:ascii="Arial" w:cs="Arial" w:eastAsia="Arial" w:hAnsi="Arial"/>
                <w:color w:val="1B6B2F"/>
                <w:sz w:val="19"/>
                <w:szCs w:val="19"/>
              </w:rPr>
              <w:t xml:space="preserve">This document recommends, and the engineering team should adopt, Autodesk PowerMill (Autodesk Fusion with PowerMill) as the primary CAM platform for Phase 1 integration. This decision is driven by three factors of equal weight: (1) our pilot partner shops already use PowerMill in daily production, eliminating re-tooling friction, (2) there is no AI-powered CAM assistant for PowerMill today — a confirmed, uncontested market gap, and (3) the core AI engine, cloud API, and ML models are entirely platform-agnostic and require no rework. Only the client-side plug-in changes, from Python/Fusion to C#/PowerMill — an estimated two-week scope change with neutral overall timeline impact.</w:t>
            </w:r>
          </w:p>
        </w:tc>
      </w:tr>
    </w:tbl>
    <w:p>
      <w:r>
        <w:rPr>
          <w:sz w:val="18"/>
          <w:szCs w:val="18"/>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BDD6EE" w:sz="1"/>
              <w:left w:val="single" w:color="BDD6EE" w:sz="1"/>
              <w:bottom w:val="single" w:color="BDD6EE" w:sz="1"/>
              <w:right w:val="single" w:color="BDD6EE" w:sz="1"/>
            </w:tcBorders>
            <w:shd w:fill="F0F7FD" w:val="clear"/>
            <w:tcMar>
              <w:top w:type="dxa" w:w="90"/>
              <w:left w:type="dxa" w:w="150"/>
              <w:bottom w:type="dxa" w:w="90"/>
              <w:right w:type="dxa" w:w="150"/>
            </w:tcMar>
          </w:tcPr>
          <w:p>
            <w:pPr>
              <w:jc w:val="left"/>
            </w:pPr>
            <w:r>
              <w:rPr>
                <w:rFonts w:ascii="Arial" w:cs="Arial" w:eastAsia="Arial" w:hAnsi="Arial"/>
                <w:b/>
                <w:bCs/>
                <w:color w:val="1F4E79"/>
                <w:sz w:val="18"/>
                <w:szCs w:val="18"/>
              </w:rPr>
              <w:t xml:space="preserve">Phase 1 Platform</w:t>
            </w:r>
          </w:p>
        </w:tc>
        <w:tc>
          <w:tcPr>
            <w:tcW w:type="dxa" w:w="6760"/>
            <w:tcBorders>
              <w:top w:val="single" w:color="BDD6EE" w:sz="1"/>
              <w:left w:val="single" w:color="BDD6EE" w:sz="1"/>
              <w:bottom w:val="single" w:color="BDD6EE" w:sz="1"/>
              <w:right w:val="single" w:color="BDD6EE" w:sz="1"/>
            </w:tcBorders>
            <w:shd w:fill="F0F7FD" w:val="clear"/>
            <w:tcMar>
              <w:top w:type="dxa" w:w="90"/>
              <w:left w:type="dxa" w:w="150"/>
              <w:bottom w:type="dxa" w:w="90"/>
              <w:right w:type="dxa" w:w="150"/>
            </w:tcMar>
          </w:tcPr>
          <w:p>
            <w:pPr>
              <w:jc w:val="left"/>
            </w:pPr>
            <w:r>
              <w:rPr>
                <w:rFonts w:ascii="Arial" w:cs="Arial" w:eastAsia="Arial" w:hAnsi="Arial"/>
                <w:b w:val="false"/>
                <w:bCs w:val="false"/>
                <w:color w:val="1A1A1A"/>
                <w:sz w:val="18"/>
                <w:szCs w:val="18"/>
              </w:rPr>
              <w:t xml:space="preserve">Autodesk PowerMill — C# plug-in with WPF UI panel, macro injection, .ptf template library</w:t>
            </w:r>
          </w:p>
        </w:tc>
      </w:tr>
      <w:tr>
        <w:tc>
          <w:tcPr>
            <w:tcW w:type="dxa" w:w="2600"/>
            <w:tcBorders>
              <w:top w:val="single" w:color="BDD6EE" w:sz="1"/>
              <w:left w:val="single" w:color="BDD6EE" w:sz="1"/>
              <w:bottom w:val="single" w:color="BDD6EE" w:sz="1"/>
              <w:right w:val="single" w:color="BDD6EE" w:sz="1"/>
            </w:tcBorders>
            <w:shd w:fill="FFFFFF" w:val="clear"/>
            <w:tcMar>
              <w:top w:type="dxa" w:w="90"/>
              <w:left w:type="dxa" w:w="150"/>
              <w:bottom w:type="dxa" w:w="90"/>
              <w:right w:type="dxa" w:w="150"/>
            </w:tcMar>
          </w:tcPr>
          <w:p>
            <w:pPr>
              <w:jc w:val="left"/>
            </w:pPr>
            <w:r>
              <w:rPr>
                <w:rFonts w:ascii="Arial" w:cs="Arial" w:eastAsia="Arial" w:hAnsi="Arial"/>
                <w:b/>
                <w:bCs/>
                <w:color w:val="1F4E79"/>
                <w:sz w:val="18"/>
                <w:szCs w:val="18"/>
              </w:rPr>
              <w:t xml:space="preserve">Phase 2 Platform Addition</w:t>
            </w:r>
          </w:p>
        </w:tc>
        <w:tc>
          <w:tcPr>
            <w:tcW w:type="dxa" w:w="6760"/>
            <w:tcBorders>
              <w:top w:val="single" w:color="BDD6EE" w:sz="1"/>
              <w:left w:val="single" w:color="BDD6EE" w:sz="1"/>
              <w:bottom w:val="single" w:color="BDD6EE" w:sz="1"/>
              <w:right w:val="single" w:color="BDD6EE" w:sz="1"/>
            </w:tcBorders>
            <w:shd w:fill="FFFFFF" w:val="clear"/>
            <w:tcMar>
              <w:top w:type="dxa" w:w="90"/>
              <w:left w:type="dxa" w:w="150"/>
              <w:bottom w:type="dxa" w:w="90"/>
              <w:right w:type="dxa" w:w="150"/>
            </w:tcMar>
          </w:tcPr>
          <w:p>
            <w:pPr>
              <w:jc w:val="left"/>
            </w:pPr>
            <w:r>
              <w:rPr>
                <w:rFonts w:ascii="Arial" w:cs="Arial" w:eastAsia="Arial" w:hAnsi="Arial"/>
                <w:b w:val="false"/>
                <w:bCs w:val="false"/>
                <w:color w:val="1A1A1A"/>
                <w:sz w:val="18"/>
                <w:szCs w:val="18"/>
              </w:rPr>
              <w:t xml:space="preserve">Autodesk Fusion — Python plug-in using adsk.cam API (4–6 week effort, fully reuses AI engine)</w:t>
            </w:r>
          </w:p>
        </w:tc>
      </w:tr>
      <w:tr>
        <w:tc>
          <w:tcPr>
            <w:tcW w:type="dxa" w:w="2600"/>
            <w:tcBorders>
              <w:top w:val="single" w:color="BDD6EE" w:sz="1"/>
              <w:left w:val="single" w:color="BDD6EE" w:sz="1"/>
              <w:bottom w:val="single" w:color="BDD6EE" w:sz="1"/>
              <w:right w:val="single" w:color="BDD6EE" w:sz="1"/>
            </w:tcBorders>
            <w:shd w:fill="F0F7FD" w:val="clear"/>
            <w:tcMar>
              <w:top w:type="dxa" w:w="90"/>
              <w:left w:type="dxa" w:w="150"/>
              <w:bottom w:type="dxa" w:w="90"/>
              <w:right w:type="dxa" w:w="150"/>
            </w:tcMar>
          </w:tcPr>
          <w:p>
            <w:pPr>
              <w:jc w:val="left"/>
            </w:pPr>
            <w:r>
              <w:rPr>
                <w:rFonts w:ascii="Arial" w:cs="Arial" w:eastAsia="Arial" w:hAnsi="Arial"/>
                <w:b/>
                <w:bCs/>
                <w:color w:val="1F4E79"/>
                <w:sz w:val="18"/>
                <w:szCs w:val="18"/>
              </w:rPr>
              <w:t xml:space="preserve">Phase 2+ Platform Addition</w:t>
            </w:r>
          </w:p>
        </w:tc>
        <w:tc>
          <w:tcPr>
            <w:tcW w:type="dxa" w:w="6760"/>
            <w:tcBorders>
              <w:top w:val="single" w:color="BDD6EE" w:sz="1"/>
              <w:left w:val="single" w:color="BDD6EE" w:sz="1"/>
              <w:bottom w:val="single" w:color="BDD6EE" w:sz="1"/>
              <w:right w:val="single" w:color="BDD6EE" w:sz="1"/>
            </w:tcBorders>
            <w:shd w:fill="F0F7FD" w:val="clear"/>
            <w:tcMar>
              <w:top w:type="dxa" w:w="90"/>
              <w:left w:type="dxa" w:w="150"/>
              <w:bottom w:type="dxa" w:w="90"/>
              <w:right w:type="dxa" w:w="150"/>
            </w:tcMar>
          </w:tcPr>
          <w:p>
            <w:pPr>
              <w:jc w:val="left"/>
            </w:pPr>
            <w:r>
              <w:rPr>
                <w:rFonts w:ascii="Arial" w:cs="Arial" w:eastAsia="Arial" w:hAnsi="Arial"/>
                <w:b w:val="false"/>
                <w:bCs w:val="false"/>
                <w:color w:val="1A1A1A"/>
                <w:sz w:val="18"/>
                <w:szCs w:val="18"/>
              </w:rPr>
              <w:t xml:space="preserve">Siemens NX — NXOpen C#/Python API (highest-complexity integration; highest-value enterprise customers)</w:t>
            </w:r>
          </w:p>
        </w:tc>
      </w:tr>
      <w:tr>
        <w:tc>
          <w:tcPr>
            <w:tcW w:type="dxa" w:w="2600"/>
            <w:tcBorders>
              <w:top w:val="single" w:color="BDD6EE" w:sz="1"/>
              <w:left w:val="single" w:color="BDD6EE" w:sz="1"/>
              <w:bottom w:val="single" w:color="BDD6EE" w:sz="1"/>
              <w:right w:val="single" w:color="BDD6EE" w:sz="1"/>
            </w:tcBorders>
            <w:shd w:fill="FFFFFF" w:val="clear"/>
            <w:tcMar>
              <w:top w:type="dxa" w:w="90"/>
              <w:left w:type="dxa" w:w="150"/>
              <w:bottom w:type="dxa" w:w="90"/>
              <w:right w:type="dxa" w:w="150"/>
            </w:tcMar>
          </w:tcPr>
          <w:p>
            <w:pPr>
              <w:jc w:val="left"/>
            </w:pPr>
            <w:r>
              <w:rPr>
                <w:rFonts w:ascii="Arial" w:cs="Arial" w:eastAsia="Arial" w:hAnsi="Arial"/>
                <w:b/>
                <w:bCs/>
                <w:color w:val="1F4E79"/>
                <w:sz w:val="18"/>
                <w:szCs w:val="18"/>
              </w:rPr>
              <w:t xml:space="preserve">Core AI Engine</w:t>
            </w:r>
          </w:p>
        </w:tc>
        <w:tc>
          <w:tcPr>
            <w:tcW w:type="dxa" w:w="6760"/>
            <w:tcBorders>
              <w:top w:val="single" w:color="BDD6EE" w:sz="1"/>
              <w:left w:val="single" w:color="BDD6EE" w:sz="1"/>
              <w:bottom w:val="single" w:color="BDD6EE" w:sz="1"/>
              <w:right w:val="single" w:color="BDD6EE" w:sz="1"/>
            </w:tcBorders>
            <w:shd w:fill="FFFFFF" w:val="clear"/>
            <w:tcMar>
              <w:top w:type="dxa" w:w="90"/>
              <w:left w:type="dxa" w:w="150"/>
              <w:bottom w:type="dxa" w:w="90"/>
              <w:right w:type="dxa" w:w="150"/>
            </w:tcMar>
          </w:tcPr>
          <w:p>
            <w:pPr>
              <w:jc w:val="left"/>
            </w:pPr>
            <w:r>
              <w:rPr>
                <w:rFonts w:ascii="Arial" w:cs="Arial" w:eastAsia="Arial" w:hAnsi="Arial"/>
                <w:b w:val="false"/>
                <w:bCs w:val="false"/>
                <w:color w:val="1A1A1A"/>
                <w:sz w:val="18"/>
                <w:szCs w:val="18"/>
              </w:rPr>
              <w:t xml:space="preserve">Unchanged from original plan — platform-agnostic Python/C++ cloud services on AWS</w:t>
            </w:r>
          </w:p>
        </w:tc>
      </w:tr>
      <w:tr>
        <w:tc>
          <w:tcPr>
            <w:tcW w:type="dxa" w:w="2600"/>
            <w:tcBorders>
              <w:top w:val="single" w:color="BDD6EE" w:sz="1"/>
              <w:left w:val="single" w:color="BDD6EE" w:sz="1"/>
              <w:bottom w:val="single" w:color="BDD6EE" w:sz="1"/>
              <w:right w:val="single" w:color="BDD6EE" w:sz="1"/>
            </w:tcBorders>
            <w:shd w:fill="F0F7FD" w:val="clear"/>
            <w:tcMar>
              <w:top w:type="dxa" w:w="90"/>
              <w:left w:type="dxa" w:w="150"/>
              <w:bottom w:type="dxa" w:w="90"/>
              <w:right w:type="dxa" w:w="150"/>
            </w:tcMar>
          </w:tcPr>
          <w:p>
            <w:pPr>
              <w:jc w:val="left"/>
            </w:pPr>
            <w:r>
              <w:rPr>
                <w:rFonts w:ascii="Arial" w:cs="Arial" w:eastAsia="Arial" w:hAnsi="Arial"/>
                <w:b/>
                <w:bCs/>
                <w:color w:val="1F4E79"/>
                <w:sz w:val="18"/>
                <w:szCs w:val="18"/>
              </w:rPr>
              <w:t xml:space="preserve">Timeline Impact</w:t>
            </w:r>
          </w:p>
        </w:tc>
        <w:tc>
          <w:tcPr>
            <w:tcW w:type="dxa" w:w="6760"/>
            <w:tcBorders>
              <w:top w:val="single" w:color="BDD6EE" w:sz="1"/>
              <w:left w:val="single" w:color="BDD6EE" w:sz="1"/>
              <w:bottom w:val="single" w:color="BDD6EE" w:sz="1"/>
              <w:right w:val="single" w:color="BDD6EE" w:sz="1"/>
            </w:tcBorders>
            <w:shd w:fill="F0F7FD" w:val="clear"/>
            <w:tcMar>
              <w:top w:type="dxa" w:w="90"/>
              <w:left w:type="dxa" w:w="150"/>
              <w:bottom w:type="dxa" w:w="90"/>
              <w:right w:type="dxa" w:w="150"/>
            </w:tcMar>
          </w:tcPr>
          <w:p>
            <w:pPr>
              <w:jc w:val="left"/>
            </w:pPr>
            <w:r>
              <w:rPr>
                <w:rFonts w:ascii="Arial" w:cs="Arial" w:eastAsia="Arial" w:hAnsi="Arial"/>
                <w:b w:val="false"/>
                <w:bCs w:val="false"/>
                <w:color w:val="1A1A1A"/>
                <w:sz w:val="18"/>
                <w:szCs w:val="18"/>
              </w:rPr>
              <w:t xml:space="preserve">Net neutral — Week 1 C# setup (+2 weeks) offset by smoother Month 4 injection (-2 weeks vs. Fusion API limitations)</w:t>
            </w:r>
          </w:p>
        </w:tc>
      </w:tr>
      <w:tr>
        <w:tc>
          <w:tcPr>
            <w:tcW w:type="dxa" w:w="2600"/>
            <w:tcBorders>
              <w:top w:val="single" w:color="BDD6EE" w:sz="1"/>
              <w:left w:val="single" w:color="BDD6EE" w:sz="1"/>
              <w:bottom w:val="single" w:color="BDD6EE" w:sz="1"/>
              <w:right w:val="single" w:color="BDD6EE" w:sz="1"/>
            </w:tcBorders>
            <w:shd w:fill="FFFFFF" w:val="clear"/>
            <w:tcMar>
              <w:top w:type="dxa" w:w="90"/>
              <w:left w:type="dxa" w:w="150"/>
              <w:bottom w:type="dxa" w:w="90"/>
              <w:right w:type="dxa" w:w="150"/>
            </w:tcMar>
          </w:tcPr>
          <w:p>
            <w:pPr>
              <w:jc w:val="left"/>
            </w:pPr>
            <w:r>
              <w:rPr>
                <w:rFonts w:ascii="Arial" w:cs="Arial" w:eastAsia="Arial" w:hAnsi="Arial"/>
                <w:b/>
                <w:bCs/>
                <w:color w:val="1F4E79"/>
                <w:sz w:val="18"/>
                <w:szCs w:val="18"/>
              </w:rPr>
              <w:t xml:space="preserve">Key Immediate Action</w:t>
            </w:r>
          </w:p>
        </w:tc>
        <w:tc>
          <w:tcPr>
            <w:tcW w:type="dxa" w:w="6760"/>
            <w:tcBorders>
              <w:top w:val="single" w:color="BDD6EE" w:sz="1"/>
              <w:left w:val="single" w:color="BDD6EE" w:sz="1"/>
              <w:bottom w:val="single" w:color="BDD6EE" w:sz="1"/>
              <w:right w:val="single" w:color="BDD6EE" w:sz="1"/>
            </w:tcBorders>
            <w:shd w:fill="FFFFFF" w:val="clear"/>
            <w:tcMar>
              <w:top w:type="dxa" w:w="90"/>
              <w:left w:type="dxa" w:w="150"/>
              <w:bottom w:type="dxa" w:w="90"/>
              <w:right w:type="dxa" w:w="150"/>
            </w:tcMar>
          </w:tcPr>
          <w:p>
            <w:pPr>
              <w:jc w:val="left"/>
            </w:pPr>
            <w:r>
              <w:rPr>
                <w:rFonts w:ascii="Arial" w:cs="Arial" w:eastAsia="Arial" w:hAnsi="Arial"/>
                <w:b w:val="false"/>
                <w:bCs w:val="false"/>
                <w:color w:val="1A1A1A"/>
                <w:sz w:val="18"/>
                <w:szCs w:val="18"/>
              </w:rPr>
              <w:t xml:space="preserve">Week 1: Conduct PowerMill version audit at all partner shops. Generate PowerMill.dll from their installed version. Begin C# Visual Studio project scaffold.</w:t>
            </w:r>
          </w:p>
        </w:tc>
      </w:tr>
      <w:tr>
        <w:tc>
          <w:tcPr>
            <w:tcW w:type="dxa" w:w="2600"/>
            <w:tcBorders>
              <w:top w:val="single" w:color="BDD6EE" w:sz="1"/>
              <w:left w:val="single" w:color="BDD6EE" w:sz="1"/>
              <w:bottom w:val="single" w:color="BDD6EE" w:sz="1"/>
              <w:right w:val="single" w:color="BDD6EE" w:sz="1"/>
            </w:tcBorders>
            <w:shd w:fill="F0F7FD" w:val="clear"/>
            <w:tcMar>
              <w:top w:type="dxa" w:w="90"/>
              <w:left w:type="dxa" w:w="150"/>
              <w:bottom w:type="dxa" w:w="90"/>
              <w:right w:type="dxa" w:w="150"/>
            </w:tcMar>
          </w:tcPr>
          <w:p>
            <w:pPr>
              <w:jc w:val="left"/>
            </w:pPr>
            <w:r>
              <w:rPr>
                <w:rFonts w:ascii="Arial" w:cs="Arial" w:eastAsia="Arial" w:hAnsi="Arial"/>
                <w:b/>
                <w:bCs/>
                <w:color w:val="1F4E79"/>
                <w:sz w:val="18"/>
                <w:szCs w:val="18"/>
              </w:rPr>
              <w:t xml:space="preserve">Key Relationship Action</w:t>
            </w:r>
          </w:p>
        </w:tc>
        <w:tc>
          <w:tcPr>
            <w:tcW w:type="dxa" w:w="6760"/>
            <w:tcBorders>
              <w:top w:val="single" w:color="BDD6EE" w:sz="1"/>
              <w:left w:val="single" w:color="BDD6EE" w:sz="1"/>
              <w:bottom w:val="single" w:color="BDD6EE" w:sz="1"/>
              <w:right w:val="single" w:color="BDD6EE" w:sz="1"/>
            </w:tcBorders>
            <w:shd w:fill="F0F7FD" w:val="clear"/>
            <w:tcMar>
              <w:top w:type="dxa" w:w="90"/>
              <w:left w:type="dxa" w:w="150"/>
              <w:bottom w:type="dxa" w:w="90"/>
              <w:right w:type="dxa" w:w="150"/>
            </w:tcMar>
          </w:tcPr>
          <w:p>
            <w:pPr>
              <w:jc w:val="left"/>
            </w:pPr>
            <w:r>
              <w:rPr>
                <w:rFonts w:ascii="Arial" w:cs="Arial" w:eastAsia="Arial" w:hAnsi="Arial"/>
                <w:b w:val="false"/>
                <w:bCs w:val="false"/>
                <w:color w:val="1A1A1A"/>
                <w:sz w:val="18"/>
                <w:szCs w:val="18"/>
              </w:rPr>
              <w:t xml:space="preserve">Week 2: Work with partner shop's senior CNC programmer to export existing toolpath templates (.ptf) for the 10 most common part families they program. These seed our template library.</w:t>
            </w:r>
          </w:p>
        </w:tc>
      </w:tr>
    </w:tbl>
    <w:p>
      <w:r>
        <w:rPr>
          <w:sz w:val="18"/>
          <w:szCs w:val="18"/>
        </w:rPr>
        <w:t xml:space="preserve"/>
      </w:r>
    </w:p>
    <w:p>
      <w:pPr>
        <w:spacing w:before="60" w:after="60"/>
      </w:pPr>
      <w:r>
        <w:rPr>
          <w:rFonts w:ascii="Arial" w:cs="Arial" w:eastAsia="Arial" w:hAnsi="Arial"/>
          <w:i/>
          <w:iCs/>
          <w:color w:val="888888"/>
          <w:sz w:val="20"/>
          <w:szCs w:val="20"/>
        </w:rPr>
        <w:t xml:space="preserve">Prepared: February 2026. This document supersedes the CAM Integration section of the AI CAM Assistant 6-Month Development Roadmap v1.0 with respect to platform selection. All other sections of the v1.0 roadmap remain current.</w:t>
      </w:r>
    </w:p>
    <w:sectPr>
      <w:headerReference w:type="default" r:id="rId6"/>
      <w:foot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6"/>
      </w:pBdr>
      <w:tabs>
        <w:tab w:val="right" w:pos="9360"/>
      </w:tabs>
    </w:pPr>
    <w:r>
      <w:rPr>
        <w:rFonts w:ascii="Arial" w:cs="Arial" w:eastAsia="Arial" w:hAnsi="Arial"/>
        <w:color w:val="999999"/>
        <w:sz w:val="16"/>
        <w:szCs w:val="16"/>
      </w:rPr>
      <w:t xml:space="preserve">Internal Technical Document — AI CAM Assistant Project</w:t>
    </w:r>
    <w:r>
      <w:rPr>
        <w:rFonts w:ascii="Arial" w:cs="Arial" w:eastAsia="Arial" w:hAnsi="Arial"/>
        <w:color w:val="999999"/>
        <w:sz w:val="16"/>
        <w:szCs w:val="16"/>
      </w:rPr>
      <w:t xml:space="preserve">	February 2026</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6"/>
      </w:pBdr>
    </w:pPr>
    <w:r>
      <w:rPr>
        <w:rFonts w:ascii="Arial" w:cs="Arial" w:eastAsia="Arial" w:hAnsi="Arial"/>
        <w:color w:val="777777"/>
        <w:sz w:val="18"/>
        <w:szCs w:val="18"/>
      </w:rPr>
      <w:t xml:space="preserve">AI CAM Assistant — Platform Selection: Autodesk PowerMill Recommendation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10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100"/>
      <w:outlineLvl w:val="0"/>
    </w:pPr>
    <w:rPr>
      <w:rFonts w:ascii="Arial" w:cs="Arial" w:eastAsia="Arial" w:hAnsi="Arial"/>
      <w:b/>
      <w:bCs/>
      <w:color w:val="0D2137"/>
      <w:sz w:val="34"/>
      <w:szCs w:val="34"/>
    </w:rPr>
  </w:style>
  <w:style w:type="paragraph" w:styleId="Heading2">
    <w:name w:val="Heading 2"/>
    <w:basedOn w:val="Normal"/>
    <w:next w:val="Normal"/>
    <w:qFormat/>
    <w:pPr>
      <w:spacing w:before="260" w:after="80"/>
      <w:outlineLvl w:val="1"/>
    </w:pPr>
    <w:rPr>
      <w:rFonts w:ascii="Arial" w:cs="Arial" w:eastAsia="Arial" w:hAnsi="Arial"/>
      <w:b/>
      <w:bCs/>
      <w:color w:val="2E75B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2026-02-28T08:30:35.989Z</dcterms:created>
  <dcterms:modified xsi:type="dcterms:W3CDTF">2026-02-28T08:30:35.990Z</dcterms:modified>
</cp:coreProperties>
</file>

<file path=docProps/custom.xml><?xml version="1.0" encoding="utf-8"?>
<Properties xmlns="http://schemas.openxmlformats.org/officeDocument/2006/custom-properties" xmlns:vt="http://schemas.openxmlformats.org/officeDocument/2006/docPropsVTypes"/>
</file>