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  <w:br/>
        <w:t>HealthConnect Healthcare Management Portal</w:t>
      </w:r>
    </w:p>
    <w:p>
      <w:pPr>
        <w:pStyle w:val="Heading1"/>
      </w:pPr>
      <w:r>
        <w:t>1. Introduction</w:t>
      </w:r>
    </w:p>
    <w:p>
      <w:r>
        <w:rPr>
          <w:sz w:val="22"/>
        </w:rPr>
        <w:t>Purpose: Define the functional and non-functional requirements for the HealthConnect Healthcare Management Portal.</w:t>
      </w:r>
    </w:p>
    <w:p>
      <w:r>
        <w:rPr>
          <w:sz w:val="22"/>
        </w:rPr>
        <w:t>Scope: Web-based application for patients, doctors, receptionists, laboratory staff, pharmacists, administrators, and hospital management.</w:t>
      </w:r>
    </w:p>
    <w:p>
      <w:r>
        <w:rPr>
          <w:sz w:val="22"/>
        </w:rPr>
        <w:t>Definitions: EMR, HIPAA, MFA, RBAC, API, OTP.</w:t>
      </w:r>
    </w:p>
    <w:p>
      <w:pPr>
        <w:pStyle w:val="Heading1"/>
      </w:pPr>
      <w:r>
        <w:t>2. Overall Description</w:t>
      </w:r>
    </w:p>
    <w:p>
      <w:r>
        <w:rPr>
          <w:sz w:val="22"/>
        </w:rPr>
        <w:t>Product Perspective: Multi-tier enterprise web application.</w:t>
      </w:r>
    </w:p>
    <w:p>
      <w:r>
        <w:rPr>
          <w:sz w:val="22"/>
        </w:rPr>
        <w:t>Users: Patients, Doctors, Receptionists, Lab Staff, Pharmacists, Hospital Admin, Super Admin.</w:t>
      </w:r>
    </w:p>
    <w:p>
      <w:r>
        <w:rPr>
          <w:sz w:val="22"/>
        </w:rPr>
        <w:t>Operating Environment: Modern browsers, HTTPS, cloud deployment.</w:t>
      </w:r>
    </w:p>
    <w:p>
      <w:pPr>
        <w:pStyle w:val="Heading1"/>
      </w:pPr>
      <w:r>
        <w:t>3. Functional Requirements</w:t>
      </w:r>
    </w:p>
    <w:p>
      <w:r>
        <w:rPr>
          <w:sz w:val="22"/>
        </w:rPr>
        <w:t>FR-001 Patient Registration with OTP verification.</w:t>
      </w:r>
    </w:p>
    <w:p>
      <w:r>
        <w:rPr>
          <w:sz w:val="22"/>
        </w:rPr>
        <w:t>FR-002 Secure Login with MFA and account lockout.</w:t>
      </w:r>
    </w:p>
    <w:p>
      <w:r>
        <w:rPr>
          <w:sz w:val="22"/>
        </w:rPr>
        <w:t>FR-003 Appointment booking, cancellation, and rescheduling.</w:t>
      </w:r>
    </w:p>
    <w:p>
      <w:r>
        <w:rPr>
          <w:sz w:val="22"/>
        </w:rPr>
        <w:t>FR-004 Electronic Medical Records management.</w:t>
      </w:r>
    </w:p>
    <w:p>
      <w:r>
        <w:rPr>
          <w:sz w:val="22"/>
        </w:rPr>
        <w:t>FR-005 Prescription generation and download.</w:t>
      </w:r>
    </w:p>
    <w:p>
      <w:r>
        <w:rPr>
          <w:sz w:val="22"/>
        </w:rPr>
        <w:t>FR-006 Laboratory test ordering and report upload.</w:t>
      </w:r>
    </w:p>
    <w:p>
      <w:r>
        <w:rPr>
          <w:sz w:val="22"/>
        </w:rPr>
        <w:t>FR-007 Billing, invoices, and online payments.</w:t>
      </w:r>
    </w:p>
    <w:p>
      <w:r>
        <w:rPr>
          <w:sz w:val="22"/>
        </w:rPr>
        <w:t>FR-008 Notifications via Email, SMS, and Push.</w:t>
      </w:r>
    </w:p>
    <w:p>
      <w:r>
        <w:rPr>
          <w:sz w:val="22"/>
        </w:rPr>
        <w:t>FR-009 Telemedicine consultations.</w:t>
      </w:r>
    </w:p>
    <w:p>
      <w:r>
        <w:rPr>
          <w:sz w:val="22"/>
        </w:rPr>
        <w:t>FR-010 Reports and dashboards.</w:t>
      </w:r>
    </w:p>
    <w:p>
      <w:pPr>
        <w:pStyle w:val="Heading1"/>
      </w:pPr>
      <w:r>
        <w:t>4. Business Rules</w:t>
      </w:r>
    </w:p>
    <w:p>
      <w:r>
        <w:rPr>
          <w:sz w:val="22"/>
        </w:rPr>
        <w:t>Unique email and mobile number.</w:t>
      </w:r>
    </w:p>
    <w:p>
      <w:r>
        <w:rPr>
          <w:sz w:val="22"/>
        </w:rPr>
        <w:t>Doctors can edit medical records; patients have read-only access.</w:t>
      </w:r>
    </w:p>
    <w:p>
      <w:r>
        <w:rPr>
          <w:sz w:val="22"/>
        </w:rPr>
        <w:t>No double booking of appointment slots.</w:t>
      </w:r>
    </w:p>
    <w:p>
      <w:r>
        <w:rPr>
          <w:sz w:val="22"/>
        </w:rPr>
        <w:t>Inactive accounts until OTP verification completes.</w:t>
      </w:r>
    </w:p>
    <w:p>
      <w:pPr>
        <w:pStyle w:val="Heading1"/>
      </w:pPr>
      <w:r>
        <w:t>5. External Interface Requirements</w:t>
      </w:r>
    </w:p>
    <w:p>
      <w:r>
        <w:rPr>
          <w:sz w:val="22"/>
        </w:rPr>
        <w:t>Responsive web UI.</w:t>
      </w:r>
    </w:p>
    <w:p>
      <w:r>
        <w:rPr>
          <w:sz w:val="22"/>
        </w:rPr>
        <w:t>REST APIs secured with OAuth/JWT.</w:t>
      </w:r>
    </w:p>
    <w:p>
      <w:r>
        <w:rPr>
          <w:sz w:val="22"/>
        </w:rPr>
        <w:t>Integrations: Payment Gateway, SMS, Email, Insurance, Video Consultation APIs.</w:t>
      </w:r>
    </w:p>
    <w:p>
      <w:pPr>
        <w:pStyle w:val="Heading1"/>
      </w:pPr>
      <w:r>
        <w:t>6. Non-Functional Requirements</w:t>
      </w:r>
    </w:p>
    <w:p>
      <w:r>
        <w:rPr>
          <w:sz w:val="22"/>
        </w:rPr>
        <w:t>Performance: Response time under 2 seconds.</w:t>
      </w:r>
    </w:p>
    <w:p>
      <w:r>
        <w:rPr>
          <w:sz w:val="22"/>
        </w:rPr>
        <w:t>Availability: 99.9% uptime.</w:t>
      </w:r>
    </w:p>
    <w:p>
      <w:r>
        <w:rPr>
          <w:sz w:val="22"/>
        </w:rPr>
        <w:t>Security: HTTPS, RBAC, MFA, encryption at rest and in transit, audit logging.</w:t>
      </w:r>
    </w:p>
    <w:p>
      <w:r>
        <w:rPr>
          <w:sz w:val="22"/>
        </w:rPr>
        <w:t>Scalability: Multi-hospital support.</w:t>
      </w:r>
    </w:p>
    <w:p>
      <w:r>
        <w:rPr>
          <w:sz w:val="22"/>
        </w:rPr>
        <w:t>Accessibility: WCAG 2.1 compliance.</w:t>
      </w:r>
    </w:p>
    <w:p>
      <w:pPr>
        <w:pStyle w:val="Heading1"/>
      </w:pPr>
      <w:r>
        <w:t>7. Database Entities</w:t>
      </w:r>
    </w:p>
    <w:p>
      <w:r>
        <w:rPr>
          <w:sz w:val="22"/>
        </w:rPr>
        <w:t>Patient, Doctor, Appointment, MedicalRecord, Prescription, LabTest, LabReport, Invoice, Payment, Notification.</w:t>
      </w:r>
    </w:p>
    <w:p>
      <w:pPr>
        <w:pStyle w:val="Heading1"/>
      </w:pPr>
      <w:r>
        <w:t>8. Security Requirements</w:t>
      </w:r>
    </w:p>
    <w:p>
      <w:r>
        <w:rPr>
          <w:sz w:val="22"/>
        </w:rPr>
        <w:t>Role-based authorization, session timeout, password policy, OWASP Top 10 protection, audit trails, PII protection, HIPAA/GDPR considerations.</w:t>
      </w:r>
    </w:p>
    <w:p>
      <w:pPr>
        <w:pStyle w:val="Heading1"/>
      </w:pPr>
      <w:r>
        <w:t>9. Acceptance Criteria</w:t>
      </w:r>
    </w:p>
    <w:p>
      <w:r>
        <w:rPr>
          <w:sz w:val="22"/>
        </w:rPr>
        <w:t>All critical workflows execute successfully.</w:t>
      </w:r>
    </w:p>
    <w:p>
      <w:r>
        <w:rPr>
          <w:sz w:val="22"/>
        </w:rPr>
        <w:t>Business rules enforced.</w:t>
      </w:r>
    </w:p>
    <w:p>
      <w:r>
        <w:rPr>
          <w:sz w:val="22"/>
        </w:rPr>
        <w:t>Security validations pass.</w:t>
      </w:r>
    </w:p>
    <w:p>
      <w:r>
        <w:rPr>
          <w:sz w:val="22"/>
        </w:rPr>
        <w:t>System supports concurrent users within performance targets.</w:t>
      </w:r>
    </w:p>
    <w:p>
      <w:pPr>
        <w:pStyle w:val="Heading1"/>
      </w:pPr>
      <w:r>
        <w:t>10. Appendix</w:t>
      </w:r>
    </w:p>
    <w:p>
      <w:r>
        <w:rPr>
          <w:sz w:val="22"/>
        </w:rPr>
        <w:t>Assumptions, constraints, glossary, future enhancements including AI symptom checker and predictive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