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77F70D" w14:textId="77777777" w:rsidR="00EC4FC6" w:rsidRDefault="00EC4FC6" w:rsidP="00EC4FC6">
      <w:pPr>
        <w:shd w:val="clear" w:color="auto" w:fill="FFFFFF"/>
      </w:pPr>
      <w:r>
        <w:t xml:space="preserve">Titles:  </w:t>
      </w:r>
    </w:p>
    <w:p w14:paraId="5E4D8709" w14:textId="77777777" w:rsidR="00EC4FC6" w:rsidRDefault="00EC4FC6" w:rsidP="00EC4FC6">
      <w:pPr>
        <w:shd w:val="clear" w:color="auto" w:fill="FFFFFF"/>
      </w:pPr>
      <w:r>
        <w:t>Medicare beneficiaries’ telehealth: state-level variations in 2016-2017</w:t>
      </w:r>
    </w:p>
    <w:p w14:paraId="5F4251E3" w14:textId="77777777" w:rsidR="00EC4FC6" w:rsidRDefault="00EC4FC6">
      <w:pPr>
        <w:shd w:val="clear" w:color="auto" w:fill="FFFFFF"/>
      </w:pPr>
    </w:p>
    <w:p w14:paraId="0E4C67B4" w14:textId="77777777" w:rsidR="00747389" w:rsidRDefault="00747389">
      <w:pPr>
        <w:shd w:val="clear" w:color="auto" w:fill="FFFFFF"/>
      </w:pPr>
      <w:r>
        <w:t>Medicare beneficiaries’</w:t>
      </w:r>
      <w:r w:rsidR="00EC4FC6">
        <w:t xml:space="preserve"> telehealth by states</w:t>
      </w:r>
      <w:r>
        <w:t xml:space="preserve"> in 2016-2017</w:t>
      </w:r>
    </w:p>
    <w:p w14:paraId="24332FFF" w14:textId="77777777" w:rsidR="00747389" w:rsidRDefault="00747389">
      <w:pPr>
        <w:shd w:val="clear" w:color="auto" w:fill="FFFFFF"/>
      </w:pPr>
      <w:r>
        <w:t xml:space="preserve"> </w:t>
      </w:r>
    </w:p>
    <w:p w14:paraId="5AC507AD" w14:textId="25F29602" w:rsidR="00C83B1C" w:rsidRDefault="00C83B1C">
      <w:pPr>
        <w:shd w:val="clear" w:color="auto" w:fill="FFFFFF"/>
      </w:pPr>
      <w:r w:rsidRPr="00747389">
        <w:t>State-level variations of telehealth use among Medicare fee-for-service beneficiaries, 2016-2017</w:t>
      </w:r>
    </w:p>
    <w:p w14:paraId="66719295" w14:textId="2E113F63" w:rsidR="009F7278" w:rsidRDefault="009F7278">
      <w:pPr>
        <w:shd w:val="clear" w:color="auto" w:fill="FFFFFF"/>
      </w:pPr>
    </w:p>
    <w:p w14:paraId="66B989F6" w14:textId="6F72617E" w:rsidR="009F7278" w:rsidRPr="00747389" w:rsidRDefault="009F7278">
      <w:pPr>
        <w:shd w:val="clear" w:color="auto" w:fill="FFFFFF"/>
      </w:pPr>
      <w:r>
        <w:t xml:space="preserve">Target journals: Health </w:t>
      </w:r>
      <w:proofErr w:type="spellStart"/>
      <w:r>
        <w:t>Affiars</w:t>
      </w:r>
      <w:proofErr w:type="spellEnd"/>
      <w:r>
        <w:t xml:space="preserve"> – Data Watch (2000 words) </w:t>
      </w:r>
    </w:p>
    <w:p w14:paraId="53C460F9" w14:textId="77777777" w:rsidR="003E39E6" w:rsidRDefault="003E39E6">
      <w:pPr>
        <w:shd w:val="clear" w:color="auto" w:fill="FFFFFF"/>
        <w:rPr>
          <w:b/>
        </w:rPr>
      </w:pPr>
    </w:p>
    <w:p w14:paraId="01E5F697" w14:textId="77777777" w:rsidR="009F7278" w:rsidRDefault="009F7278">
      <w:pPr>
        <w:shd w:val="clear" w:color="auto" w:fill="FFFFFF"/>
      </w:pPr>
    </w:p>
    <w:p w14:paraId="2FC9043A" w14:textId="12131A55" w:rsidR="009E1C24" w:rsidRPr="003E39E6" w:rsidRDefault="003E39E6">
      <w:pPr>
        <w:shd w:val="clear" w:color="auto" w:fill="FFFFFF"/>
      </w:pPr>
      <w:proofErr w:type="spellStart"/>
      <w:r w:rsidRPr="003E39E6">
        <w:t>Bian</w:t>
      </w:r>
      <w:proofErr w:type="spellEnd"/>
      <w:r w:rsidRPr="003E39E6">
        <w:t xml:space="preserve"> Liu, PhD; Ruya Zhang; …. </w:t>
      </w:r>
      <w:r w:rsidR="00C83B1C" w:rsidRPr="003E39E6">
        <w:t xml:space="preserve"> </w:t>
      </w:r>
    </w:p>
    <w:p w14:paraId="4DB401C2" w14:textId="77777777" w:rsidR="00EC4FC6" w:rsidRDefault="00EC4FC6">
      <w:pPr>
        <w:shd w:val="clear" w:color="auto" w:fill="FFFFFF"/>
        <w:rPr>
          <w:b/>
        </w:rPr>
      </w:pPr>
    </w:p>
    <w:p w14:paraId="0DB43D68" w14:textId="77777777" w:rsidR="003E39E6" w:rsidRDefault="003E39E6">
      <w:pPr>
        <w:shd w:val="clear" w:color="auto" w:fill="FFFFFF"/>
        <w:rPr>
          <w:b/>
        </w:rPr>
      </w:pPr>
    </w:p>
    <w:p w14:paraId="56A46EA9" w14:textId="77777777" w:rsidR="003E39E6" w:rsidRPr="00C83B1C" w:rsidRDefault="003E39E6">
      <w:pPr>
        <w:shd w:val="clear" w:color="auto" w:fill="FFFFFF"/>
        <w:rPr>
          <w:b/>
        </w:rPr>
      </w:pPr>
    </w:p>
    <w:p w14:paraId="7D3625DA" w14:textId="77777777" w:rsidR="008735BB" w:rsidRPr="00C83B1C" w:rsidRDefault="008735BB">
      <w:pPr>
        <w:shd w:val="clear" w:color="auto" w:fill="FFFFFF"/>
        <w:rPr>
          <w:b/>
        </w:rPr>
      </w:pPr>
      <w:r w:rsidRPr="00C83B1C">
        <w:rPr>
          <w:b/>
        </w:rPr>
        <w:t xml:space="preserve">Abstract </w:t>
      </w:r>
    </w:p>
    <w:p w14:paraId="215721F2" w14:textId="77777777" w:rsidR="00CC605B" w:rsidRPr="00C83B1C" w:rsidRDefault="009E1C24">
      <w:pPr>
        <w:shd w:val="clear" w:color="auto" w:fill="FFFFFF"/>
      </w:pPr>
      <w:r w:rsidRPr="00C83B1C">
        <w:t xml:space="preserve">Telemedicine use among fee-for-service (FFS) Medicare beneficiaries varied … across states during …. State-level variations of telemedicine use Analysis of the </w:t>
      </w:r>
    </w:p>
    <w:p w14:paraId="26BDFD3C" w14:textId="77777777" w:rsidR="00CC605B" w:rsidRPr="00C83B1C" w:rsidRDefault="00CC605B">
      <w:pPr>
        <w:shd w:val="clear" w:color="auto" w:fill="FFFFFF"/>
      </w:pPr>
    </w:p>
    <w:p w14:paraId="61A8A2BD" w14:textId="77777777" w:rsidR="00CC605B" w:rsidRPr="00C83B1C" w:rsidRDefault="00280EBC">
      <w:pPr>
        <w:shd w:val="clear" w:color="auto" w:fill="FFFFFF"/>
        <w:rPr>
          <w:b/>
        </w:rPr>
      </w:pPr>
      <w:r w:rsidRPr="00C83B1C">
        <w:rPr>
          <w:b/>
        </w:rPr>
        <w:t>Study data and methods</w:t>
      </w:r>
    </w:p>
    <w:p w14:paraId="1D78127D" w14:textId="77777777" w:rsidR="00D0633B" w:rsidRPr="00C83B1C" w:rsidRDefault="005530D1">
      <w:pPr>
        <w:shd w:val="clear" w:color="auto" w:fill="FFFFFF"/>
      </w:pPr>
      <w:r w:rsidRPr="00C83B1C">
        <w:t>T</w:t>
      </w:r>
      <w:r w:rsidR="00C83B1C" w:rsidRPr="00C83B1C">
        <w:t xml:space="preserve">he study </w:t>
      </w:r>
      <w:r w:rsidRPr="00C83B1C">
        <w:t>used</w:t>
      </w:r>
      <w:r w:rsidR="00C83B1C" w:rsidRPr="00C83B1C">
        <w:t xml:space="preserve"> two data sets to calculate the two outcomes of interest: telehealth services density and providers’ density, respectively, defined as the number of services and providers per Medicare FFS beneficiaries.</w:t>
      </w:r>
      <w:r w:rsidRPr="00C83B1C">
        <w:t xml:space="preserve"> </w:t>
      </w:r>
      <w:r w:rsidR="0010172B">
        <w:t>The numerator, total number of telehealth services</w:t>
      </w:r>
      <w:r w:rsidR="001659EB">
        <w:t xml:space="preserve"> or total number of providers</w:t>
      </w:r>
      <w:r w:rsidR="0010172B">
        <w:t>, w</w:t>
      </w:r>
      <w:r w:rsidR="001659EB">
        <w:t>as</w:t>
      </w:r>
      <w:r w:rsidR="0010172B">
        <w:t xml:space="preserve"> from t</w:t>
      </w:r>
      <w:r w:rsidRPr="00C83B1C">
        <w:t>he Medicare Provider Utilization and Payment Data: Physician and Other Supplier public use file (PUF)</w:t>
      </w:r>
      <w:r w:rsidR="0010172B">
        <w:t xml:space="preserve">; while the denominator, total number of FFS beneficiaries, were from </w:t>
      </w:r>
      <w:r w:rsidRPr="00C83B1C">
        <w:t>the Medicare FFS enrollment PUF data for the calendar year 2016 and 2017. The provider PUF includes summaries of service and procedures provided by physicians and other health-care professionals to the Medicare FFS beneficiaries</w:t>
      </w:r>
      <w:r w:rsidR="00280EBC" w:rsidRPr="00C83B1C">
        <w:t xml:space="preserve"> only</w:t>
      </w:r>
      <w:r w:rsidR="007D40CE" w:rsidRPr="00C83B1C">
        <w:t>, not beneficiaries enrolled in Medicare Advantage plans</w:t>
      </w:r>
      <w:r w:rsidR="004D2173" w:rsidRPr="00C83B1C">
        <w:t xml:space="preserve">. </w:t>
      </w:r>
      <w:r w:rsidR="007D40CE" w:rsidRPr="00C83B1C">
        <w:t xml:space="preserve">Services were coded with healthcare common procedure coding system (HCPCS) codes and summarized by individual provider. Data with less than eleven services per provider were suppressed for privacy concerns. Additional information in PUF file included providers’ unique national provider identifier (NPI), addresses, specialty type, and payment amount. The enrollment PUF provides data on Medicare enrollment, such as the counts of Medicare FFS beneficiaries aggregated at varied geographic scales. </w:t>
      </w:r>
    </w:p>
    <w:p w14:paraId="226A197B" w14:textId="77777777" w:rsidR="00D0633B" w:rsidRPr="00C83B1C" w:rsidRDefault="001659EB">
      <w:pPr>
        <w:shd w:val="clear" w:color="auto" w:fill="FFFFFF"/>
        <w:spacing w:before="220"/>
      </w:pPr>
      <w:r>
        <w:t xml:space="preserve">We extracted </w:t>
      </w:r>
      <w:r w:rsidR="00F661A5">
        <w:t xml:space="preserve">from </w:t>
      </w:r>
      <w:r>
        <w:t xml:space="preserve">the provider PUF all </w:t>
      </w:r>
      <w:r w:rsidR="00F661A5">
        <w:t xml:space="preserve">data lines with HCPCS codes indicative of </w:t>
      </w:r>
      <w:r>
        <w:t xml:space="preserve">telehealth services published by CMS for calendar years 2016-2017, and aggregated all services and all providers, respectively, at the state level. </w:t>
      </w:r>
      <w:r w:rsidR="00C505F3">
        <w:t xml:space="preserve">They </w:t>
      </w:r>
      <w:r w:rsidR="005530D1" w:rsidRPr="00C83B1C">
        <w:t>were subsequently divided by the total number of Medicare FFS beneficiaries at the state level.</w:t>
      </w:r>
      <w:r w:rsidR="00C505F3">
        <w:t xml:space="preserve"> We then summarized and mapped the </w:t>
      </w:r>
      <w:r w:rsidR="00B84E31">
        <w:t xml:space="preserve">state-level </w:t>
      </w:r>
      <w:r w:rsidR="00C505F3">
        <w:t>telehealth services density and provider density</w:t>
      </w:r>
      <w:r w:rsidR="005530D1" w:rsidRPr="00C83B1C">
        <w:t>.</w:t>
      </w:r>
    </w:p>
    <w:p w14:paraId="5B6055E1" w14:textId="77777777" w:rsidR="00D0633B" w:rsidRDefault="00F50DFE">
      <w:pPr>
        <w:shd w:val="clear" w:color="auto" w:fill="FFFFFF"/>
        <w:spacing w:before="220"/>
      </w:pPr>
      <w:r>
        <w:t xml:space="preserve">This study had several limitations. First, </w:t>
      </w:r>
      <w:r w:rsidR="002E07E8">
        <w:t xml:space="preserve">we rely on HCPCS codes to define telehealth services which do not … </w:t>
      </w:r>
      <w:r>
        <w:t xml:space="preserve">  </w:t>
      </w:r>
    </w:p>
    <w:p w14:paraId="19CB7C8C" w14:textId="77777777" w:rsidR="00F50DFE" w:rsidRPr="00C83B1C" w:rsidRDefault="00F50DFE">
      <w:pPr>
        <w:shd w:val="clear" w:color="auto" w:fill="FFFFFF"/>
        <w:spacing w:before="220"/>
      </w:pPr>
    </w:p>
    <w:p w14:paraId="2E75B83D" w14:textId="77777777" w:rsidR="008735BB" w:rsidRPr="00C83B1C" w:rsidRDefault="008735BB" w:rsidP="008735BB">
      <w:pPr>
        <w:shd w:val="clear" w:color="auto" w:fill="FFFFFF"/>
        <w:rPr>
          <w:b/>
        </w:rPr>
      </w:pPr>
      <w:r w:rsidRPr="00C83B1C">
        <w:rPr>
          <w:b/>
        </w:rPr>
        <w:t>Study results</w:t>
      </w:r>
    </w:p>
    <w:p w14:paraId="7529CA88" w14:textId="77777777" w:rsidR="008735BB" w:rsidRDefault="008735BB" w:rsidP="008735BB">
      <w:pPr>
        <w:shd w:val="clear" w:color="auto" w:fill="FFFFFF"/>
      </w:pPr>
    </w:p>
    <w:p w14:paraId="5F4BC375" w14:textId="77777777" w:rsidR="005D62B7" w:rsidRDefault="005D62B7" w:rsidP="008735BB">
      <w:pPr>
        <w:shd w:val="clear" w:color="auto" w:fill="FFFFFF"/>
      </w:pPr>
      <w:r>
        <w:t>Exhibit 1. Telehealth services per Medicare FFS beneficiaries by state, 2016-2017.</w:t>
      </w:r>
    </w:p>
    <w:p w14:paraId="789649AD" w14:textId="77777777" w:rsidR="005D62B7" w:rsidRDefault="005D62B7" w:rsidP="008735BB">
      <w:pPr>
        <w:shd w:val="clear" w:color="auto" w:fill="FFFFFF"/>
      </w:pPr>
    </w:p>
    <w:p w14:paraId="38955A73" w14:textId="77777777" w:rsidR="00D3026C" w:rsidRPr="00C83B1C" w:rsidRDefault="00D3026C" w:rsidP="008735BB">
      <w:pPr>
        <w:shd w:val="clear" w:color="auto" w:fill="FFFFFF"/>
      </w:pPr>
    </w:p>
    <w:p w14:paraId="54BBB722" w14:textId="77777777" w:rsidR="005D62B7" w:rsidRDefault="005D62B7" w:rsidP="005D62B7">
      <w:pPr>
        <w:shd w:val="clear" w:color="auto" w:fill="FFFFFF"/>
      </w:pPr>
      <w:r>
        <w:t>Exhibit 2. Providers with telehealth services per Medicare FFS beneficiaries by state, 2016-2017.</w:t>
      </w:r>
    </w:p>
    <w:p w14:paraId="406D6686" w14:textId="77777777" w:rsidR="005D62B7" w:rsidRDefault="005D62B7" w:rsidP="005D62B7">
      <w:pPr>
        <w:shd w:val="clear" w:color="auto" w:fill="FFFFFF"/>
      </w:pPr>
    </w:p>
    <w:p w14:paraId="4002EDFC" w14:textId="77777777" w:rsidR="00D3026C" w:rsidRDefault="00D3026C" w:rsidP="005D62B7">
      <w:pPr>
        <w:shd w:val="clear" w:color="auto" w:fill="FFFFFF"/>
      </w:pPr>
    </w:p>
    <w:p w14:paraId="4B70A514" w14:textId="77777777" w:rsidR="005D62B7" w:rsidRDefault="005D62B7" w:rsidP="005D62B7">
      <w:pPr>
        <w:shd w:val="clear" w:color="auto" w:fill="FFFFFF"/>
      </w:pPr>
      <w:r>
        <w:t>Exhibit 3. Changes in telehealth services utilization among Medicare FFS beneficiaries in 2016-2017.</w:t>
      </w:r>
      <w:r w:rsidR="002E07E8">
        <w:t xml:space="preserve"> --- scatter plot (X-Y, x= changes in services density, y=changes in provider density )…</w:t>
      </w:r>
    </w:p>
    <w:p w14:paraId="3B79C383" w14:textId="77777777" w:rsidR="005D62B7" w:rsidRDefault="005D62B7" w:rsidP="005D62B7">
      <w:pPr>
        <w:shd w:val="clear" w:color="auto" w:fill="FFFFFF"/>
      </w:pPr>
    </w:p>
    <w:p w14:paraId="494E4ADC" w14:textId="77777777" w:rsidR="006D68B5" w:rsidRDefault="006D68B5" w:rsidP="005D62B7">
      <w:pPr>
        <w:shd w:val="clear" w:color="auto" w:fill="FFFFFF"/>
      </w:pPr>
      <w:r>
        <w:t xml:space="preserve">Exhibit 4. Services by provider specialties and sex. </w:t>
      </w:r>
    </w:p>
    <w:p w14:paraId="5B9AC4B1" w14:textId="77777777" w:rsidR="006D68B5" w:rsidRDefault="006D68B5" w:rsidP="005D62B7">
      <w:pPr>
        <w:shd w:val="clear" w:color="auto" w:fill="FFFFFF"/>
      </w:pPr>
    </w:p>
    <w:p w14:paraId="5B78B448" w14:textId="77777777" w:rsidR="005D62B7" w:rsidRDefault="005D62B7" w:rsidP="005D62B7">
      <w:pPr>
        <w:shd w:val="clear" w:color="auto" w:fill="FFFFFF"/>
      </w:pPr>
    </w:p>
    <w:p w14:paraId="40A92345" w14:textId="77777777" w:rsidR="005D62B7" w:rsidRDefault="000D712D" w:rsidP="005D62B7">
      <w:pPr>
        <w:shd w:val="clear" w:color="auto" w:fill="FFFFFF"/>
      </w:pPr>
      <w:r>
        <w:t>Exhibit 5</w:t>
      </w:r>
      <w:r w:rsidR="005D62B7">
        <w:t>. Characteristics of telehealth use among Medicare FFS beneficiaries in 2016-2017.</w:t>
      </w:r>
    </w:p>
    <w:p w14:paraId="33BAE43C" w14:textId="77777777" w:rsidR="005D62B7" w:rsidRDefault="005D62B7" w:rsidP="005D62B7">
      <w:pPr>
        <w:shd w:val="clear" w:color="auto" w:fill="FFFFFF"/>
      </w:pPr>
    </w:p>
    <w:p w14:paraId="23D2A74B" w14:textId="77777777" w:rsidR="008735BB" w:rsidRDefault="008735BB" w:rsidP="008735BB">
      <w:pPr>
        <w:shd w:val="clear" w:color="auto" w:fill="FFFFFF"/>
      </w:pPr>
    </w:p>
    <w:p w14:paraId="6368A563" w14:textId="77777777" w:rsidR="005D62B7" w:rsidRPr="00C83B1C" w:rsidRDefault="005D62B7" w:rsidP="008735BB">
      <w:pPr>
        <w:shd w:val="clear" w:color="auto" w:fill="FFFFFF"/>
      </w:pPr>
    </w:p>
    <w:p w14:paraId="409DA932" w14:textId="77777777" w:rsidR="008735BB" w:rsidRPr="00C83B1C" w:rsidRDefault="008735BB" w:rsidP="008735BB">
      <w:pPr>
        <w:shd w:val="clear" w:color="auto" w:fill="FFFFFF"/>
        <w:rPr>
          <w:b/>
        </w:rPr>
      </w:pPr>
      <w:r w:rsidRPr="00C83B1C">
        <w:rPr>
          <w:b/>
        </w:rPr>
        <w:t>Discussion</w:t>
      </w:r>
    </w:p>
    <w:p w14:paraId="7B70C205" w14:textId="77777777" w:rsidR="00D3026C" w:rsidRDefault="00D3026C" w:rsidP="008735BB">
      <w:pPr>
        <w:shd w:val="clear" w:color="auto" w:fill="FFFFFF"/>
      </w:pPr>
    </w:p>
    <w:p w14:paraId="2FD0385F" w14:textId="77777777" w:rsidR="00D3026C" w:rsidRDefault="00D3026C" w:rsidP="008735BB">
      <w:pPr>
        <w:shd w:val="clear" w:color="auto" w:fill="FFFFFF"/>
      </w:pPr>
    </w:p>
    <w:p w14:paraId="620F6668" w14:textId="77777777" w:rsidR="00D3026C" w:rsidRDefault="00AB0A82" w:rsidP="008735BB">
      <w:pPr>
        <w:shd w:val="clear" w:color="auto" w:fill="FFFFFF"/>
      </w:pPr>
      <w:r>
        <w:t>Levels at state level</w:t>
      </w:r>
    </w:p>
    <w:p w14:paraId="03D89214" w14:textId="77777777" w:rsidR="00AB0A82" w:rsidRDefault="00AB0A82" w:rsidP="008735BB">
      <w:pPr>
        <w:shd w:val="clear" w:color="auto" w:fill="FFFFFF"/>
      </w:pPr>
    </w:p>
    <w:p w14:paraId="2668CB21" w14:textId="77777777" w:rsidR="00AB0A82" w:rsidRDefault="00AB0A82" w:rsidP="008735BB">
      <w:pPr>
        <w:shd w:val="clear" w:color="auto" w:fill="FFFFFF"/>
      </w:pPr>
      <w:r>
        <w:t xml:space="preserve">Levels by provider </w:t>
      </w:r>
    </w:p>
    <w:p w14:paraId="1D457DDE" w14:textId="77777777" w:rsidR="00AB0A82" w:rsidRDefault="00AB0A82" w:rsidP="008735BB">
      <w:pPr>
        <w:shd w:val="clear" w:color="auto" w:fill="FFFFFF"/>
      </w:pPr>
    </w:p>
    <w:p w14:paraId="0DFA6F10" w14:textId="77777777" w:rsidR="00AB0A82" w:rsidRDefault="00AB0A82" w:rsidP="008735BB">
      <w:pPr>
        <w:shd w:val="clear" w:color="auto" w:fill="FFFFFF"/>
      </w:pPr>
      <w:r>
        <w:t>Changes by …</w:t>
      </w:r>
    </w:p>
    <w:p w14:paraId="5B83823E" w14:textId="77777777" w:rsidR="00AB0A82" w:rsidRDefault="00AB0A82" w:rsidP="008735BB">
      <w:pPr>
        <w:shd w:val="clear" w:color="auto" w:fill="FFFFFF"/>
      </w:pPr>
    </w:p>
    <w:p w14:paraId="5F285EA9" w14:textId="77777777" w:rsidR="00AB0A82" w:rsidRDefault="00AB0A82" w:rsidP="008735BB">
      <w:pPr>
        <w:shd w:val="clear" w:color="auto" w:fill="FFFFFF"/>
      </w:pPr>
      <w:r>
        <w:t>Implications:</w:t>
      </w:r>
    </w:p>
    <w:p w14:paraId="2AC466F1" w14:textId="77777777" w:rsidR="00AB0A82" w:rsidRDefault="00AB0A82" w:rsidP="008735BB">
      <w:pPr>
        <w:shd w:val="clear" w:color="auto" w:fill="FFFFFF"/>
      </w:pPr>
    </w:p>
    <w:p w14:paraId="4BADF475" w14:textId="77777777" w:rsidR="008735BB" w:rsidRPr="00C83B1C" w:rsidRDefault="008735BB" w:rsidP="008735BB">
      <w:pPr>
        <w:shd w:val="clear" w:color="auto" w:fill="FFFFFF"/>
      </w:pPr>
      <w:r w:rsidRPr="00C83B1C">
        <w:t xml:space="preserve">In the largest safety-Net System, the NYC Health + Hospitals, the use of telehealth increased from 500 visits per month to 83,000 billable </w:t>
      </w:r>
      <w:proofErr w:type="spellStart"/>
      <w:r w:rsidRPr="00C83B1C">
        <w:t>televisits</w:t>
      </w:r>
      <w:proofErr w:type="spellEnd"/>
      <w:r w:rsidRPr="00C83B1C">
        <w:t xml:space="preserve"> and more than 30,000 behavioral health encounters via telephone and video between March and April. (Lau et al., 2020) </w:t>
      </w:r>
    </w:p>
    <w:p w14:paraId="6B87FC3A" w14:textId="77777777" w:rsidR="008735BB" w:rsidRPr="00C83B1C" w:rsidRDefault="008735BB">
      <w:pPr>
        <w:shd w:val="clear" w:color="auto" w:fill="FFFFFF"/>
        <w:spacing w:before="220"/>
      </w:pPr>
    </w:p>
    <w:p w14:paraId="5AE42119" w14:textId="77777777" w:rsidR="008735BB" w:rsidRPr="00D3026C" w:rsidRDefault="00D3026C">
      <w:pPr>
        <w:shd w:val="clear" w:color="auto" w:fill="FFFFFF"/>
        <w:spacing w:before="220"/>
        <w:rPr>
          <w:b/>
        </w:rPr>
      </w:pPr>
      <w:r w:rsidRPr="00D3026C">
        <w:rPr>
          <w:b/>
        </w:rPr>
        <w:t>Conclusion</w:t>
      </w:r>
    </w:p>
    <w:p w14:paraId="7CD6A8CD" w14:textId="77777777" w:rsidR="00FC6874" w:rsidRDefault="00FC6874">
      <w:pPr>
        <w:shd w:val="clear" w:color="auto" w:fill="FFFFFF"/>
        <w:spacing w:before="220"/>
      </w:pPr>
      <w:r>
        <w:t xml:space="preserve">Utilization of telehealth services among Medicare FFS beneficiaries is growing at a slow/ fast? pace between 2016 and 2017. With the on-going COVID-19 pandemic, there has been an  growth … The expansion of telehealth is   … . Howe and to what scale telehealth uses are expanding for the older population in the US is still unclear, but this analysis of existing data, most recent data, can help guide the assessment of the current telehealth use and future policy … </w:t>
      </w:r>
    </w:p>
    <w:p w14:paraId="5216AFD1" w14:textId="77777777" w:rsidR="00EC4FC6" w:rsidRDefault="00EC4FC6">
      <w:pPr>
        <w:shd w:val="clear" w:color="auto" w:fill="FFFFFF"/>
        <w:spacing w:before="220"/>
        <w:sectPr w:rsidR="00EC4FC6">
          <w:pgSz w:w="12240" w:h="15840"/>
          <w:pgMar w:top="1440" w:right="1440" w:bottom="1440" w:left="1440" w:header="720" w:footer="720" w:gutter="0"/>
          <w:pgNumType w:start="1"/>
          <w:cols w:space="720"/>
        </w:sectPr>
      </w:pPr>
    </w:p>
    <w:p w14:paraId="4B63BBC4" w14:textId="77777777" w:rsidR="0085507E" w:rsidRDefault="0085507E" w:rsidP="00EC4FC6">
      <w:pPr>
        <w:spacing w:line="240" w:lineRule="auto"/>
      </w:pPr>
      <w:r>
        <w:rPr>
          <w:b/>
        </w:rPr>
        <w:lastRenderedPageBreak/>
        <w:t xml:space="preserve">Exhibit X. </w:t>
      </w:r>
      <w:r w:rsidR="004E4A53">
        <w:t>State-level variations in t</w:t>
      </w:r>
      <w:r w:rsidRPr="0085507E">
        <w:t xml:space="preserve">elehealth services </w:t>
      </w:r>
      <w:r w:rsidR="00F6689A">
        <w:t>and provider</w:t>
      </w:r>
      <w:r w:rsidR="00B34BE7">
        <w:t>s</w:t>
      </w:r>
      <w:r w:rsidR="00F6689A">
        <w:t xml:space="preserve"> with telehealth services </w:t>
      </w:r>
      <w:r w:rsidRPr="0085507E">
        <w:t>per Medicare FFS beneficiaries</w:t>
      </w:r>
      <w:r w:rsidR="00B34BE7">
        <w:t>, and telehealth services per provider</w:t>
      </w:r>
      <w:r w:rsidR="004E4A53">
        <w:t>,</w:t>
      </w:r>
      <w:r>
        <w:t xml:space="preserve"> </w:t>
      </w:r>
      <w:r w:rsidRPr="0085507E">
        <w:t>by state, 2017.</w:t>
      </w:r>
    </w:p>
    <w:p w14:paraId="4C273C0C" w14:textId="47FE71AA" w:rsidR="0085507E" w:rsidRDefault="0085507E" w:rsidP="00EC4FC6">
      <w:pPr>
        <w:spacing w:line="240" w:lineRule="auto"/>
        <w:rPr>
          <w:noProof/>
          <w:lang w:val="en-US"/>
        </w:rPr>
      </w:pPr>
    </w:p>
    <w:p w14:paraId="18377D24" w14:textId="77777777" w:rsidR="00E126AB" w:rsidRDefault="00E126AB" w:rsidP="00EC4FC6">
      <w:pPr>
        <w:spacing w:line="240" w:lineRule="auto"/>
      </w:pPr>
    </w:p>
    <w:p w14:paraId="23C88D52" w14:textId="140CBEBF" w:rsidR="00B34BE7" w:rsidRDefault="00B34BE7" w:rsidP="00EC4FC6">
      <w:pPr>
        <w:spacing w:line="240" w:lineRule="auto"/>
        <w:rPr>
          <w:noProof/>
          <w:lang w:val="en-US"/>
        </w:rPr>
      </w:pPr>
    </w:p>
    <w:p w14:paraId="5FE241F4" w14:textId="638351F2" w:rsidR="00E126AB" w:rsidRDefault="00BC364B" w:rsidP="00EC4FC6">
      <w:pPr>
        <w:spacing w:line="240" w:lineRule="auto"/>
        <w:sectPr w:rsidR="00E126AB">
          <w:pgSz w:w="12240" w:h="15840"/>
          <w:pgMar w:top="1440" w:right="1440" w:bottom="1440" w:left="1440" w:header="720" w:footer="720" w:gutter="0"/>
          <w:pgNumType w:start="1"/>
          <w:cols w:space="720"/>
        </w:sectPr>
      </w:pPr>
      <w:r>
        <w:rPr>
          <w:noProof/>
          <w:lang w:val="en-US" w:eastAsia="zh-CN"/>
        </w:rPr>
        <w:drawing>
          <wp:inline distT="0" distB="0" distL="0" distR="0" wp14:anchorId="57116534" wp14:editId="54D83036">
            <wp:extent cx="7097757" cy="4912197"/>
            <wp:effectExtent l="0" t="0" r="0" b="0"/>
            <wp:docPr id="1" name="Picture 1" descr="grid17.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d17.tif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11017" cy="4921374"/>
                    </a:xfrm>
                    <a:prstGeom prst="rect">
                      <a:avLst/>
                    </a:prstGeom>
                    <a:noFill/>
                    <a:ln>
                      <a:noFill/>
                    </a:ln>
                  </pic:spPr>
                </pic:pic>
              </a:graphicData>
            </a:graphic>
          </wp:inline>
        </w:drawing>
      </w:r>
    </w:p>
    <w:p w14:paraId="06090C34" w14:textId="28BA64ED" w:rsidR="00B34BE7" w:rsidRDefault="00B34BE7" w:rsidP="00B34BE7">
      <w:pPr>
        <w:spacing w:line="240" w:lineRule="auto"/>
      </w:pPr>
      <w:commentRangeStart w:id="0"/>
      <w:r>
        <w:rPr>
          <w:b/>
        </w:rPr>
        <w:lastRenderedPageBreak/>
        <w:t xml:space="preserve">Exhibit X. </w:t>
      </w:r>
      <w:r>
        <w:t xml:space="preserve">Changes </w:t>
      </w:r>
      <w:commentRangeEnd w:id="0"/>
      <w:r w:rsidR="0076617B">
        <w:rPr>
          <w:rStyle w:val="CommentReference"/>
        </w:rPr>
        <w:commentReference w:id="0"/>
      </w:r>
      <w:r>
        <w:t xml:space="preserve">in </w:t>
      </w:r>
      <w:r w:rsidR="004E4A53">
        <w:t>in t</w:t>
      </w:r>
      <w:r w:rsidR="004E4A53" w:rsidRPr="0085507E">
        <w:t xml:space="preserve">elehealth services </w:t>
      </w:r>
      <w:r w:rsidR="004E4A53">
        <w:t xml:space="preserve">and providers with telehealth services </w:t>
      </w:r>
      <w:r w:rsidR="004E4A53" w:rsidRPr="0085507E">
        <w:t>per Medicare FFS beneficiaries</w:t>
      </w:r>
      <w:r w:rsidR="004E4A53">
        <w:t xml:space="preserve">, and telehealth services per provider </w:t>
      </w:r>
      <w:r w:rsidR="004E4A53" w:rsidRPr="0085507E">
        <w:t>by state</w:t>
      </w:r>
      <w:r w:rsidR="004E4A53">
        <w:t>,</w:t>
      </w:r>
      <w:r w:rsidR="004E4A53" w:rsidRPr="0085507E">
        <w:t xml:space="preserve"> </w:t>
      </w:r>
      <w:r w:rsidRPr="0085507E">
        <w:t>by state</w:t>
      </w:r>
      <w:r w:rsidR="004E4A53">
        <w:t>,</w:t>
      </w:r>
      <w:r>
        <w:t xml:space="preserve"> between 2016 and</w:t>
      </w:r>
      <w:r w:rsidRPr="0085507E">
        <w:t xml:space="preserve"> 2017.</w:t>
      </w:r>
    </w:p>
    <w:p w14:paraId="2425E336" w14:textId="77777777" w:rsidR="0085507E" w:rsidRDefault="0085507E" w:rsidP="00EC4FC6">
      <w:pPr>
        <w:spacing w:line="240" w:lineRule="auto"/>
      </w:pPr>
    </w:p>
    <w:p w14:paraId="0F124A38" w14:textId="26D1C9C9" w:rsidR="0075263D" w:rsidRPr="0085507E" w:rsidRDefault="00762B22" w:rsidP="00EC4FC6">
      <w:pPr>
        <w:spacing w:line="240" w:lineRule="auto"/>
        <w:sectPr w:rsidR="0075263D" w:rsidRPr="0085507E">
          <w:pgSz w:w="12240" w:h="15840"/>
          <w:pgMar w:top="1440" w:right="1440" w:bottom="1440" w:left="1440" w:header="720" w:footer="720" w:gutter="0"/>
          <w:pgNumType w:start="1"/>
          <w:cols w:space="720"/>
        </w:sectPr>
      </w:pPr>
      <w:r>
        <w:rPr>
          <w:noProof/>
          <w:lang w:val="en-US" w:eastAsia="zh-CN"/>
        </w:rPr>
        <w:drawing>
          <wp:inline distT="0" distB="0" distL="0" distR="0" wp14:anchorId="02F82C76" wp14:editId="3F8CFD49">
            <wp:extent cx="7138035" cy="4940072"/>
            <wp:effectExtent l="0" t="0" r="0" b="0"/>
            <wp:docPr id="2" name="Picture 2" descr="grid-diff.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d-diff.tif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85388" cy="4972844"/>
                    </a:xfrm>
                    <a:prstGeom prst="rect">
                      <a:avLst/>
                    </a:prstGeom>
                    <a:noFill/>
                    <a:ln>
                      <a:noFill/>
                    </a:ln>
                  </pic:spPr>
                </pic:pic>
              </a:graphicData>
            </a:graphic>
          </wp:inline>
        </w:drawing>
      </w:r>
    </w:p>
    <w:p w14:paraId="5C8A4A8F" w14:textId="77777777" w:rsidR="00EC4FC6" w:rsidRDefault="00EC4FC6" w:rsidP="00EC4FC6">
      <w:pPr>
        <w:spacing w:line="240" w:lineRule="auto"/>
      </w:pPr>
      <w:r>
        <w:rPr>
          <w:b/>
        </w:rPr>
        <w:lastRenderedPageBreak/>
        <w:t>Exhibit X</w:t>
      </w:r>
      <w:r w:rsidRPr="00374785">
        <w:rPr>
          <w:b/>
        </w:rPr>
        <w:t>.</w:t>
      </w:r>
      <w:r>
        <w:t xml:space="preserve"> Summary statistics of the utilizations of Medicare covered </w:t>
      </w:r>
      <w:r w:rsidRPr="00EC4FC6">
        <w:t>telehealth services</w:t>
      </w:r>
      <w:r>
        <w:t>, 2016-2017.</w:t>
      </w:r>
    </w:p>
    <w:p w14:paraId="405B35C7" w14:textId="77777777" w:rsidR="00EC4FC6" w:rsidRDefault="00EC4FC6" w:rsidP="00EC4FC6">
      <w:pPr>
        <w:spacing w:line="240" w:lineRule="auto"/>
      </w:pPr>
    </w:p>
    <w:tbl>
      <w:tblPr>
        <w:tblW w:w="10502"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2"/>
        <w:gridCol w:w="2700"/>
        <w:gridCol w:w="2160"/>
        <w:gridCol w:w="2250"/>
        <w:gridCol w:w="2250"/>
      </w:tblGrid>
      <w:tr w:rsidR="00185C40" w:rsidRPr="00E94A8F" w14:paraId="219855B0" w14:textId="77777777" w:rsidTr="00185C40">
        <w:trPr>
          <w:trHeight w:val="301"/>
        </w:trPr>
        <w:tc>
          <w:tcPr>
            <w:tcW w:w="3842" w:type="dxa"/>
            <w:gridSpan w:val="2"/>
            <w:shd w:val="clear" w:color="auto" w:fill="auto"/>
            <w:noWrap/>
            <w:vAlign w:val="center"/>
            <w:hideMark/>
          </w:tcPr>
          <w:p w14:paraId="062AE75E" w14:textId="77777777" w:rsidR="00785B7E" w:rsidRPr="00316C5C" w:rsidRDefault="00785B7E" w:rsidP="00715498">
            <w:pPr>
              <w:spacing w:line="240" w:lineRule="auto"/>
              <w:jc w:val="center"/>
              <w:rPr>
                <w:rFonts w:eastAsia="Times New Roman" w:cs="Times New Roman"/>
                <w:b/>
                <w:sz w:val="20"/>
                <w:szCs w:val="20"/>
              </w:rPr>
            </w:pPr>
            <w:r w:rsidRPr="00316C5C">
              <w:rPr>
                <w:rFonts w:eastAsia="Times New Roman" w:cs="Times New Roman"/>
                <w:b/>
                <w:sz w:val="20"/>
                <w:szCs w:val="20"/>
              </w:rPr>
              <w:t>Variables</w:t>
            </w:r>
          </w:p>
        </w:tc>
        <w:tc>
          <w:tcPr>
            <w:tcW w:w="2160" w:type="dxa"/>
            <w:shd w:val="clear" w:color="auto" w:fill="auto"/>
            <w:noWrap/>
            <w:vAlign w:val="center"/>
            <w:hideMark/>
          </w:tcPr>
          <w:p w14:paraId="36FAACFB" w14:textId="77777777" w:rsidR="00785B7E" w:rsidRPr="00316C5C" w:rsidRDefault="00785B7E" w:rsidP="00715498">
            <w:pPr>
              <w:spacing w:line="240" w:lineRule="auto"/>
              <w:jc w:val="center"/>
              <w:rPr>
                <w:rFonts w:eastAsia="Times New Roman" w:cs="Times New Roman"/>
                <w:b/>
                <w:sz w:val="20"/>
                <w:szCs w:val="20"/>
              </w:rPr>
            </w:pPr>
            <w:r w:rsidRPr="00316C5C">
              <w:rPr>
                <w:rFonts w:eastAsia="Times New Roman" w:cs="Times New Roman"/>
                <w:b/>
                <w:sz w:val="20"/>
                <w:szCs w:val="20"/>
              </w:rPr>
              <w:t>Mean (SD)</w:t>
            </w:r>
          </w:p>
        </w:tc>
        <w:tc>
          <w:tcPr>
            <w:tcW w:w="2250" w:type="dxa"/>
            <w:shd w:val="clear" w:color="auto" w:fill="auto"/>
            <w:noWrap/>
            <w:vAlign w:val="center"/>
            <w:hideMark/>
          </w:tcPr>
          <w:p w14:paraId="49CAFCFD" w14:textId="77777777" w:rsidR="00785B7E" w:rsidRPr="00316C5C" w:rsidRDefault="00785B7E" w:rsidP="00715498">
            <w:pPr>
              <w:spacing w:line="240" w:lineRule="auto"/>
              <w:jc w:val="center"/>
              <w:rPr>
                <w:rFonts w:eastAsia="Times New Roman" w:cs="Times New Roman"/>
                <w:b/>
                <w:sz w:val="20"/>
                <w:szCs w:val="20"/>
              </w:rPr>
            </w:pPr>
            <w:r w:rsidRPr="00316C5C">
              <w:rPr>
                <w:rFonts w:eastAsia="Times New Roman" w:cs="Times New Roman"/>
                <w:b/>
                <w:sz w:val="20"/>
                <w:szCs w:val="20"/>
              </w:rPr>
              <w:t>Median (IQR)</w:t>
            </w:r>
          </w:p>
        </w:tc>
        <w:tc>
          <w:tcPr>
            <w:tcW w:w="2250" w:type="dxa"/>
            <w:shd w:val="clear" w:color="auto" w:fill="auto"/>
            <w:noWrap/>
            <w:vAlign w:val="center"/>
            <w:hideMark/>
          </w:tcPr>
          <w:p w14:paraId="0B584DA8" w14:textId="77777777" w:rsidR="00785B7E" w:rsidRPr="00316C5C" w:rsidRDefault="00785B7E" w:rsidP="00715498">
            <w:pPr>
              <w:spacing w:line="240" w:lineRule="auto"/>
              <w:jc w:val="center"/>
              <w:rPr>
                <w:rFonts w:eastAsia="Times New Roman" w:cs="Times New Roman"/>
                <w:b/>
                <w:sz w:val="20"/>
                <w:szCs w:val="20"/>
              </w:rPr>
            </w:pPr>
            <w:r w:rsidRPr="00316C5C">
              <w:rPr>
                <w:rFonts w:eastAsia="Times New Roman" w:cs="Times New Roman"/>
                <w:b/>
                <w:sz w:val="20"/>
                <w:szCs w:val="20"/>
              </w:rPr>
              <w:t>Min (state) –</w:t>
            </w:r>
          </w:p>
          <w:p w14:paraId="55A7CE0B" w14:textId="77777777" w:rsidR="00785B7E" w:rsidRPr="00316C5C" w:rsidRDefault="00785B7E" w:rsidP="00715498">
            <w:pPr>
              <w:spacing w:line="240" w:lineRule="auto"/>
              <w:jc w:val="center"/>
              <w:rPr>
                <w:rFonts w:eastAsia="Times New Roman" w:cs="Times New Roman"/>
                <w:b/>
                <w:sz w:val="20"/>
                <w:szCs w:val="20"/>
              </w:rPr>
            </w:pPr>
            <w:r w:rsidRPr="00316C5C">
              <w:rPr>
                <w:rFonts w:eastAsia="Times New Roman" w:cs="Times New Roman"/>
                <w:b/>
                <w:sz w:val="20"/>
                <w:szCs w:val="20"/>
              </w:rPr>
              <w:t>Max (state)</w:t>
            </w:r>
          </w:p>
        </w:tc>
      </w:tr>
      <w:tr w:rsidR="00185C40" w:rsidRPr="00E94A8F" w14:paraId="66C21A09" w14:textId="77777777" w:rsidTr="00185C40">
        <w:trPr>
          <w:trHeight w:val="301"/>
        </w:trPr>
        <w:tc>
          <w:tcPr>
            <w:tcW w:w="1142" w:type="dxa"/>
            <w:vMerge w:val="restart"/>
            <w:shd w:val="clear" w:color="auto" w:fill="auto"/>
            <w:noWrap/>
            <w:vAlign w:val="center"/>
          </w:tcPr>
          <w:p w14:paraId="6C1C04AC" w14:textId="77777777" w:rsidR="00715498" w:rsidRPr="00F85D5C" w:rsidRDefault="00715498" w:rsidP="00715498">
            <w:pPr>
              <w:spacing w:line="240" w:lineRule="auto"/>
              <w:jc w:val="center"/>
              <w:rPr>
                <w:rFonts w:eastAsia="Times New Roman" w:cs="Times New Roman"/>
                <w:b/>
                <w:sz w:val="20"/>
                <w:szCs w:val="20"/>
              </w:rPr>
            </w:pPr>
            <w:r w:rsidRPr="00F85D5C">
              <w:rPr>
                <w:rFonts w:eastAsia="Times New Roman" w:cs="Times New Roman"/>
                <w:b/>
                <w:sz w:val="20"/>
                <w:szCs w:val="20"/>
              </w:rPr>
              <w:t>2016</w:t>
            </w:r>
          </w:p>
        </w:tc>
        <w:tc>
          <w:tcPr>
            <w:tcW w:w="2700" w:type="dxa"/>
            <w:shd w:val="clear" w:color="auto" w:fill="auto"/>
            <w:noWrap/>
            <w:vAlign w:val="center"/>
          </w:tcPr>
          <w:p w14:paraId="09EC1C1F" w14:textId="77777777" w:rsidR="00715498" w:rsidRPr="00BC6B4E" w:rsidRDefault="00715498" w:rsidP="00D816DF">
            <w:pPr>
              <w:spacing w:line="240" w:lineRule="auto"/>
              <w:rPr>
                <w:rFonts w:eastAsia="Times New Roman" w:cs="Times New Roman"/>
                <w:sz w:val="20"/>
                <w:szCs w:val="20"/>
              </w:rPr>
            </w:pPr>
            <w:r>
              <w:rPr>
                <w:rFonts w:eastAsia="Times New Roman" w:cs="Times New Roman"/>
                <w:sz w:val="20"/>
                <w:szCs w:val="20"/>
              </w:rPr>
              <w:t>Telehealth services per state</w:t>
            </w:r>
          </w:p>
        </w:tc>
        <w:tc>
          <w:tcPr>
            <w:tcW w:w="2160" w:type="dxa"/>
            <w:shd w:val="clear" w:color="auto" w:fill="auto"/>
            <w:noWrap/>
            <w:vAlign w:val="center"/>
          </w:tcPr>
          <w:p w14:paraId="41FF7873" w14:textId="05BBAEF6" w:rsidR="00715498" w:rsidRPr="00BC6B4E" w:rsidRDefault="007F4F79" w:rsidP="00D816DF">
            <w:pPr>
              <w:spacing w:line="240" w:lineRule="auto"/>
              <w:rPr>
                <w:rFonts w:eastAsia="Times New Roman" w:cs="Times New Roman"/>
                <w:sz w:val="20"/>
                <w:szCs w:val="20"/>
              </w:rPr>
            </w:pPr>
            <w:r w:rsidRPr="007F4F79">
              <w:rPr>
                <w:rFonts w:eastAsia="Times New Roman" w:cs="Times New Roman"/>
                <w:sz w:val="20"/>
                <w:szCs w:val="20"/>
              </w:rPr>
              <w:t>7</w:t>
            </w:r>
            <w:r w:rsidR="00DA2560">
              <w:rPr>
                <w:rFonts w:eastAsia="Times New Roman" w:cs="Times New Roman"/>
                <w:sz w:val="20"/>
                <w:szCs w:val="20"/>
              </w:rPr>
              <w:t>,</w:t>
            </w:r>
            <w:r w:rsidRPr="007F4F79">
              <w:rPr>
                <w:rFonts w:eastAsia="Times New Roman" w:cs="Times New Roman"/>
                <w:sz w:val="20"/>
                <w:szCs w:val="20"/>
              </w:rPr>
              <w:t>347</w:t>
            </w:r>
            <w:r w:rsidR="00DA2560">
              <w:rPr>
                <w:rFonts w:eastAsia="Times New Roman" w:cs="Times New Roman"/>
                <w:sz w:val="20"/>
                <w:szCs w:val="20"/>
              </w:rPr>
              <w:t>,</w:t>
            </w:r>
            <w:r w:rsidRPr="007F4F79">
              <w:rPr>
                <w:rFonts w:eastAsia="Times New Roman" w:cs="Times New Roman"/>
                <w:sz w:val="20"/>
                <w:szCs w:val="20"/>
              </w:rPr>
              <w:t xml:space="preserve">169 </w:t>
            </w:r>
            <w:r w:rsidR="00715498">
              <w:rPr>
                <w:rFonts w:eastAsia="Times New Roman" w:cs="Times New Roman"/>
                <w:sz w:val="20"/>
                <w:szCs w:val="20"/>
              </w:rPr>
              <w:t>(</w:t>
            </w:r>
            <w:r w:rsidR="0005065B" w:rsidRPr="0005065B">
              <w:rPr>
                <w:rFonts w:eastAsia="Times New Roman" w:cs="Times New Roman"/>
                <w:sz w:val="20"/>
                <w:szCs w:val="20"/>
              </w:rPr>
              <w:t>7</w:t>
            </w:r>
            <w:r w:rsidR="00DA2560">
              <w:rPr>
                <w:rFonts w:eastAsia="Times New Roman" w:cs="Times New Roman"/>
                <w:sz w:val="20"/>
                <w:szCs w:val="20"/>
              </w:rPr>
              <w:t>,</w:t>
            </w:r>
            <w:r w:rsidR="0005065B" w:rsidRPr="0005065B">
              <w:rPr>
                <w:rFonts w:eastAsia="Times New Roman" w:cs="Times New Roman"/>
                <w:sz w:val="20"/>
                <w:szCs w:val="20"/>
              </w:rPr>
              <w:t>942</w:t>
            </w:r>
            <w:r w:rsidR="00DA2560">
              <w:rPr>
                <w:rFonts w:eastAsia="Times New Roman" w:cs="Times New Roman"/>
                <w:sz w:val="20"/>
                <w:szCs w:val="20"/>
              </w:rPr>
              <w:t>,</w:t>
            </w:r>
            <w:r w:rsidR="0005065B" w:rsidRPr="0005065B">
              <w:rPr>
                <w:rFonts w:eastAsia="Times New Roman" w:cs="Times New Roman"/>
                <w:sz w:val="20"/>
                <w:szCs w:val="20"/>
              </w:rPr>
              <w:t>885</w:t>
            </w:r>
            <w:r w:rsidR="00715498">
              <w:rPr>
                <w:rFonts w:eastAsia="Times New Roman" w:cs="Times New Roman"/>
                <w:sz w:val="20"/>
                <w:szCs w:val="20"/>
              </w:rPr>
              <w:t>)</w:t>
            </w:r>
          </w:p>
        </w:tc>
        <w:tc>
          <w:tcPr>
            <w:tcW w:w="2250" w:type="dxa"/>
            <w:shd w:val="clear" w:color="auto" w:fill="auto"/>
            <w:noWrap/>
            <w:vAlign w:val="center"/>
          </w:tcPr>
          <w:p w14:paraId="00BCAD8C" w14:textId="6F67DCCA" w:rsidR="00715498" w:rsidRPr="00BC6B4E" w:rsidRDefault="0005065B" w:rsidP="00D816DF">
            <w:pPr>
              <w:spacing w:line="240" w:lineRule="auto"/>
              <w:rPr>
                <w:rFonts w:eastAsia="Times New Roman" w:cs="Times New Roman"/>
                <w:sz w:val="20"/>
                <w:szCs w:val="20"/>
              </w:rPr>
            </w:pPr>
            <w:r w:rsidRPr="0005065B">
              <w:rPr>
                <w:rFonts w:eastAsia="Times New Roman" w:cs="Times New Roman"/>
                <w:sz w:val="20"/>
                <w:szCs w:val="20"/>
              </w:rPr>
              <w:t>5</w:t>
            </w:r>
            <w:r w:rsidR="00DA2560">
              <w:rPr>
                <w:rFonts w:eastAsia="Times New Roman" w:cs="Times New Roman"/>
                <w:sz w:val="20"/>
                <w:szCs w:val="20"/>
              </w:rPr>
              <w:t>,</w:t>
            </w:r>
            <w:r w:rsidRPr="0005065B">
              <w:rPr>
                <w:rFonts w:eastAsia="Times New Roman" w:cs="Times New Roman"/>
                <w:sz w:val="20"/>
                <w:szCs w:val="20"/>
              </w:rPr>
              <w:t>019</w:t>
            </w:r>
            <w:r w:rsidR="00DA2560">
              <w:rPr>
                <w:rFonts w:eastAsia="Times New Roman" w:cs="Times New Roman"/>
                <w:sz w:val="20"/>
                <w:szCs w:val="20"/>
              </w:rPr>
              <w:t>,</w:t>
            </w:r>
            <w:r w:rsidRPr="0005065B">
              <w:rPr>
                <w:rFonts w:eastAsia="Times New Roman" w:cs="Times New Roman"/>
                <w:sz w:val="20"/>
                <w:szCs w:val="20"/>
              </w:rPr>
              <w:t xml:space="preserve">948 </w:t>
            </w:r>
            <w:r>
              <w:rPr>
                <w:rFonts w:eastAsia="Times New Roman" w:cs="Times New Roman"/>
                <w:sz w:val="20"/>
                <w:szCs w:val="20"/>
              </w:rPr>
              <w:t>(</w:t>
            </w:r>
            <w:r w:rsidRPr="0005065B">
              <w:rPr>
                <w:rFonts w:eastAsia="Times New Roman" w:cs="Times New Roman"/>
                <w:sz w:val="20"/>
                <w:szCs w:val="20"/>
              </w:rPr>
              <w:t>1</w:t>
            </w:r>
            <w:r w:rsidR="00DA2560">
              <w:rPr>
                <w:rFonts w:eastAsia="Times New Roman" w:cs="Times New Roman"/>
                <w:sz w:val="20"/>
                <w:szCs w:val="20"/>
              </w:rPr>
              <w:t>,</w:t>
            </w:r>
            <w:r w:rsidRPr="0005065B">
              <w:rPr>
                <w:rFonts w:eastAsia="Times New Roman" w:cs="Times New Roman"/>
                <w:sz w:val="20"/>
                <w:szCs w:val="20"/>
              </w:rPr>
              <w:t>759</w:t>
            </w:r>
            <w:r w:rsidR="00DA2560">
              <w:rPr>
                <w:rFonts w:eastAsia="Times New Roman" w:cs="Times New Roman"/>
                <w:sz w:val="20"/>
                <w:szCs w:val="20"/>
              </w:rPr>
              <w:t>,</w:t>
            </w:r>
            <w:r w:rsidRPr="0005065B">
              <w:rPr>
                <w:rFonts w:eastAsia="Times New Roman" w:cs="Times New Roman"/>
                <w:sz w:val="20"/>
                <w:szCs w:val="20"/>
              </w:rPr>
              <w:t>580</w:t>
            </w:r>
            <w:r w:rsidR="00715498">
              <w:rPr>
                <w:rFonts w:eastAsia="Times New Roman" w:cs="Times New Roman"/>
                <w:sz w:val="20"/>
                <w:szCs w:val="20"/>
              </w:rPr>
              <w:t>-</w:t>
            </w:r>
            <w:r>
              <w:t xml:space="preserve"> </w:t>
            </w:r>
            <w:r w:rsidRPr="0005065B">
              <w:rPr>
                <w:rFonts w:eastAsia="Times New Roman" w:cs="Times New Roman"/>
                <w:sz w:val="20"/>
                <w:szCs w:val="20"/>
              </w:rPr>
              <w:t>9</w:t>
            </w:r>
            <w:r w:rsidR="00DA2560">
              <w:rPr>
                <w:rFonts w:eastAsia="Times New Roman" w:cs="Times New Roman"/>
                <w:sz w:val="20"/>
                <w:szCs w:val="20"/>
              </w:rPr>
              <w:t>,</w:t>
            </w:r>
            <w:r w:rsidRPr="0005065B">
              <w:rPr>
                <w:rFonts w:eastAsia="Times New Roman" w:cs="Times New Roman"/>
                <w:sz w:val="20"/>
                <w:szCs w:val="20"/>
              </w:rPr>
              <w:t>805</w:t>
            </w:r>
            <w:r w:rsidR="00DA2560">
              <w:rPr>
                <w:rFonts w:eastAsia="Times New Roman" w:cs="Times New Roman"/>
                <w:sz w:val="20"/>
                <w:szCs w:val="20"/>
              </w:rPr>
              <w:t>,</w:t>
            </w:r>
            <w:r w:rsidRPr="0005065B">
              <w:rPr>
                <w:rFonts w:eastAsia="Times New Roman" w:cs="Times New Roman"/>
                <w:sz w:val="20"/>
                <w:szCs w:val="20"/>
              </w:rPr>
              <w:t>007</w:t>
            </w:r>
            <w:r w:rsidR="00715498">
              <w:rPr>
                <w:rFonts w:eastAsia="Times New Roman" w:cs="Times New Roman"/>
                <w:sz w:val="20"/>
                <w:szCs w:val="20"/>
              </w:rPr>
              <w:t>)</w:t>
            </w:r>
          </w:p>
        </w:tc>
        <w:tc>
          <w:tcPr>
            <w:tcW w:w="2250" w:type="dxa"/>
            <w:shd w:val="clear" w:color="auto" w:fill="auto"/>
            <w:noWrap/>
            <w:vAlign w:val="center"/>
          </w:tcPr>
          <w:p w14:paraId="615A7833" w14:textId="2D1F8BD6" w:rsidR="00715498" w:rsidRPr="00BC6B4E" w:rsidRDefault="0005065B" w:rsidP="00D816DF">
            <w:pPr>
              <w:spacing w:line="240" w:lineRule="auto"/>
              <w:rPr>
                <w:rFonts w:eastAsia="Times New Roman" w:cs="Times New Roman"/>
                <w:sz w:val="20"/>
                <w:szCs w:val="20"/>
              </w:rPr>
            </w:pPr>
            <w:r w:rsidRPr="0005065B">
              <w:rPr>
                <w:rFonts w:eastAsia="Times New Roman" w:cs="Times New Roman"/>
                <w:sz w:val="20"/>
                <w:szCs w:val="20"/>
              </w:rPr>
              <w:t>448</w:t>
            </w:r>
            <w:r w:rsidR="00DA2560">
              <w:rPr>
                <w:rFonts w:eastAsia="Times New Roman" w:cs="Times New Roman"/>
                <w:sz w:val="20"/>
                <w:szCs w:val="20"/>
              </w:rPr>
              <w:t>,</w:t>
            </w:r>
            <w:r w:rsidRPr="0005065B">
              <w:rPr>
                <w:rFonts w:eastAsia="Times New Roman" w:cs="Times New Roman"/>
                <w:sz w:val="20"/>
                <w:szCs w:val="20"/>
              </w:rPr>
              <w:t>172</w:t>
            </w:r>
            <w:r w:rsidR="00715498">
              <w:rPr>
                <w:rFonts w:eastAsia="Times New Roman" w:cs="Times New Roman"/>
                <w:sz w:val="20"/>
                <w:szCs w:val="20"/>
              </w:rPr>
              <w:t xml:space="preserve"> (AK)-</w:t>
            </w:r>
            <w:r>
              <w:t xml:space="preserve"> </w:t>
            </w:r>
            <w:r w:rsidRPr="0005065B">
              <w:rPr>
                <w:rFonts w:eastAsia="Times New Roman" w:cs="Times New Roman"/>
                <w:sz w:val="20"/>
                <w:szCs w:val="20"/>
              </w:rPr>
              <w:t>33</w:t>
            </w:r>
            <w:r w:rsidR="00DA2560">
              <w:rPr>
                <w:rFonts w:eastAsia="Times New Roman" w:cs="Times New Roman"/>
                <w:sz w:val="20"/>
                <w:szCs w:val="20"/>
              </w:rPr>
              <w:t>,</w:t>
            </w:r>
            <w:r w:rsidRPr="0005065B">
              <w:rPr>
                <w:rFonts w:eastAsia="Times New Roman" w:cs="Times New Roman"/>
                <w:sz w:val="20"/>
                <w:szCs w:val="20"/>
              </w:rPr>
              <w:t>477</w:t>
            </w:r>
            <w:r w:rsidR="00DA2560">
              <w:rPr>
                <w:rFonts w:eastAsia="Times New Roman" w:cs="Times New Roman"/>
                <w:sz w:val="20"/>
                <w:szCs w:val="20"/>
              </w:rPr>
              <w:t>,</w:t>
            </w:r>
            <w:r w:rsidRPr="0005065B">
              <w:rPr>
                <w:rFonts w:eastAsia="Times New Roman" w:cs="Times New Roman"/>
                <w:sz w:val="20"/>
                <w:szCs w:val="20"/>
              </w:rPr>
              <w:t>504</w:t>
            </w:r>
            <w:r>
              <w:rPr>
                <w:rFonts w:eastAsia="Times New Roman" w:cs="Times New Roman"/>
                <w:sz w:val="20"/>
                <w:szCs w:val="20"/>
              </w:rPr>
              <w:t xml:space="preserve"> (FL)</w:t>
            </w:r>
          </w:p>
        </w:tc>
      </w:tr>
      <w:tr w:rsidR="00185C40" w:rsidRPr="00E94A8F" w14:paraId="1E6D2F76" w14:textId="77777777" w:rsidTr="00185C40">
        <w:trPr>
          <w:trHeight w:val="301"/>
        </w:trPr>
        <w:tc>
          <w:tcPr>
            <w:tcW w:w="1142" w:type="dxa"/>
            <w:vMerge/>
            <w:shd w:val="clear" w:color="auto" w:fill="auto"/>
            <w:noWrap/>
            <w:vAlign w:val="center"/>
          </w:tcPr>
          <w:p w14:paraId="3F6DCAF3" w14:textId="77777777" w:rsidR="00715498" w:rsidRPr="00F85D5C" w:rsidRDefault="00715498" w:rsidP="00715498">
            <w:pPr>
              <w:spacing w:line="240" w:lineRule="auto"/>
              <w:jc w:val="center"/>
              <w:rPr>
                <w:rFonts w:eastAsia="Times New Roman" w:cs="Times New Roman"/>
                <w:b/>
                <w:sz w:val="20"/>
                <w:szCs w:val="20"/>
              </w:rPr>
            </w:pPr>
          </w:p>
        </w:tc>
        <w:tc>
          <w:tcPr>
            <w:tcW w:w="2700" w:type="dxa"/>
            <w:shd w:val="clear" w:color="auto" w:fill="auto"/>
            <w:noWrap/>
            <w:vAlign w:val="center"/>
          </w:tcPr>
          <w:p w14:paraId="720F9388" w14:textId="77777777" w:rsidR="00715498" w:rsidRDefault="00715498" w:rsidP="00D816DF">
            <w:pPr>
              <w:spacing w:line="240" w:lineRule="auto"/>
              <w:rPr>
                <w:rFonts w:eastAsia="Times New Roman" w:cs="Times New Roman"/>
                <w:sz w:val="20"/>
                <w:szCs w:val="20"/>
              </w:rPr>
            </w:pPr>
            <w:r>
              <w:rPr>
                <w:rFonts w:eastAsia="Times New Roman" w:cs="Times New Roman"/>
                <w:sz w:val="20"/>
                <w:szCs w:val="20"/>
              </w:rPr>
              <w:t>Medicare FFS beneficiaries per state</w:t>
            </w:r>
          </w:p>
        </w:tc>
        <w:tc>
          <w:tcPr>
            <w:tcW w:w="2160" w:type="dxa"/>
            <w:shd w:val="clear" w:color="auto" w:fill="auto"/>
            <w:noWrap/>
            <w:vAlign w:val="center"/>
          </w:tcPr>
          <w:p w14:paraId="5A9BBEA4" w14:textId="387EF169" w:rsidR="00715498" w:rsidRDefault="002C69FF" w:rsidP="00D816DF">
            <w:pPr>
              <w:spacing w:line="240" w:lineRule="auto"/>
              <w:rPr>
                <w:rFonts w:eastAsia="Times New Roman" w:cs="Times New Roman"/>
                <w:sz w:val="20"/>
                <w:szCs w:val="20"/>
              </w:rPr>
            </w:pPr>
            <w:r w:rsidRPr="002C69FF">
              <w:rPr>
                <w:rFonts w:eastAsia="Times New Roman" w:cs="Times New Roman"/>
                <w:sz w:val="20"/>
                <w:szCs w:val="20"/>
              </w:rPr>
              <w:t>1</w:t>
            </w:r>
            <w:r>
              <w:rPr>
                <w:rFonts w:eastAsia="Times New Roman" w:cs="Times New Roman"/>
                <w:sz w:val="20"/>
                <w:szCs w:val="20"/>
              </w:rPr>
              <w:t>,</w:t>
            </w:r>
            <w:r w:rsidRPr="002C69FF">
              <w:rPr>
                <w:rFonts w:eastAsia="Times New Roman" w:cs="Times New Roman"/>
                <w:sz w:val="20"/>
                <w:szCs w:val="20"/>
              </w:rPr>
              <w:t>033</w:t>
            </w:r>
            <w:r>
              <w:rPr>
                <w:rFonts w:eastAsia="Times New Roman" w:cs="Times New Roman"/>
                <w:sz w:val="20"/>
                <w:szCs w:val="20"/>
              </w:rPr>
              <w:t>,</w:t>
            </w:r>
            <w:r w:rsidRPr="002C69FF">
              <w:rPr>
                <w:rFonts w:eastAsia="Times New Roman" w:cs="Times New Roman"/>
                <w:sz w:val="20"/>
                <w:szCs w:val="20"/>
              </w:rPr>
              <w:t>114</w:t>
            </w:r>
            <w:r>
              <w:rPr>
                <w:rFonts w:eastAsia="Times New Roman" w:cs="Times New Roman"/>
                <w:sz w:val="20"/>
                <w:szCs w:val="20"/>
              </w:rPr>
              <w:t>(</w:t>
            </w:r>
            <w:r w:rsidRPr="002C69FF">
              <w:rPr>
                <w:rFonts w:eastAsia="Times New Roman" w:cs="Times New Roman"/>
                <w:sz w:val="20"/>
                <w:szCs w:val="20"/>
              </w:rPr>
              <w:t>1</w:t>
            </w:r>
            <w:r>
              <w:rPr>
                <w:rFonts w:eastAsia="Times New Roman" w:cs="Times New Roman"/>
                <w:sz w:val="20"/>
                <w:szCs w:val="20"/>
              </w:rPr>
              <w:t>,</w:t>
            </w:r>
            <w:r w:rsidRPr="002C69FF">
              <w:rPr>
                <w:rFonts w:eastAsia="Times New Roman" w:cs="Times New Roman"/>
                <w:sz w:val="20"/>
                <w:szCs w:val="20"/>
              </w:rPr>
              <w:t>073</w:t>
            </w:r>
            <w:r>
              <w:rPr>
                <w:rFonts w:eastAsia="Times New Roman" w:cs="Times New Roman"/>
                <w:sz w:val="20"/>
                <w:szCs w:val="20"/>
              </w:rPr>
              <w:t>,</w:t>
            </w:r>
            <w:r w:rsidRPr="002C69FF">
              <w:rPr>
                <w:rFonts w:eastAsia="Times New Roman" w:cs="Times New Roman"/>
                <w:sz w:val="20"/>
                <w:szCs w:val="20"/>
              </w:rPr>
              <w:t>560</w:t>
            </w:r>
            <w:r>
              <w:rPr>
                <w:rFonts w:eastAsia="Times New Roman" w:cs="Times New Roman"/>
                <w:sz w:val="20"/>
                <w:szCs w:val="20"/>
              </w:rPr>
              <w:t>)</w:t>
            </w:r>
          </w:p>
        </w:tc>
        <w:tc>
          <w:tcPr>
            <w:tcW w:w="2250" w:type="dxa"/>
            <w:shd w:val="clear" w:color="auto" w:fill="auto"/>
            <w:noWrap/>
            <w:vAlign w:val="center"/>
          </w:tcPr>
          <w:p w14:paraId="23ED8BB2" w14:textId="31182E34" w:rsidR="00715498" w:rsidRDefault="002C69FF" w:rsidP="00D816DF">
            <w:pPr>
              <w:spacing w:line="240" w:lineRule="auto"/>
              <w:rPr>
                <w:rFonts w:eastAsia="Times New Roman" w:cs="Times New Roman"/>
                <w:sz w:val="20"/>
                <w:szCs w:val="20"/>
              </w:rPr>
            </w:pPr>
            <w:r w:rsidRPr="002C69FF">
              <w:rPr>
                <w:rFonts w:eastAsia="Times New Roman" w:cs="Times New Roman"/>
                <w:sz w:val="20"/>
                <w:szCs w:val="20"/>
              </w:rPr>
              <w:t>761</w:t>
            </w:r>
            <w:r>
              <w:rPr>
                <w:rFonts w:eastAsia="Times New Roman" w:cs="Times New Roman"/>
                <w:sz w:val="20"/>
                <w:szCs w:val="20"/>
              </w:rPr>
              <w:t>,</w:t>
            </w:r>
            <w:r w:rsidRPr="002C69FF">
              <w:rPr>
                <w:rFonts w:eastAsia="Times New Roman" w:cs="Times New Roman"/>
                <w:sz w:val="20"/>
                <w:szCs w:val="20"/>
              </w:rPr>
              <w:t>400</w:t>
            </w:r>
            <w:r>
              <w:rPr>
                <w:rFonts w:eastAsia="Times New Roman" w:cs="Times New Roman"/>
                <w:sz w:val="20"/>
                <w:szCs w:val="20"/>
              </w:rPr>
              <w:t>(</w:t>
            </w:r>
            <w:r w:rsidRPr="002C69FF">
              <w:rPr>
                <w:rFonts w:eastAsia="Times New Roman" w:cs="Times New Roman"/>
                <w:sz w:val="20"/>
                <w:szCs w:val="20"/>
              </w:rPr>
              <w:t>302</w:t>
            </w:r>
            <w:r>
              <w:rPr>
                <w:rFonts w:eastAsia="Times New Roman" w:cs="Times New Roman"/>
                <w:sz w:val="20"/>
                <w:szCs w:val="20"/>
              </w:rPr>
              <w:t>,</w:t>
            </w:r>
            <w:r w:rsidRPr="002C69FF">
              <w:rPr>
                <w:rFonts w:eastAsia="Times New Roman" w:cs="Times New Roman"/>
                <w:sz w:val="20"/>
                <w:szCs w:val="20"/>
              </w:rPr>
              <w:t>172</w:t>
            </w:r>
            <w:r>
              <w:rPr>
                <w:rFonts w:eastAsia="Times New Roman" w:cs="Times New Roman"/>
                <w:sz w:val="20"/>
                <w:szCs w:val="20"/>
              </w:rPr>
              <w:t>-</w:t>
            </w:r>
            <w:r>
              <w:t xml:space="preserve"> </w:t>
            </w:r>
            <w:r w:rsidRPr="002C69FF">
              <w:rPr>
                <w:rFonts w:eastAsia="Times New Roman" w:cs="Times New Roman"/>
                <w:sz w:val="20"/>
                <w:szCs w:val="20"/>
              </w:rPr>
              <w:t>1</w:t>
            </w:r>
            <w:r>
              <w:rPr>
                <w:rFonts w:eastAsia="Times New Roman" w:cs="Times New Roman"/>
                <w:sz w:val="20"/>
                <w:szCs w:val="20"/>
              </w:rPr>
              <w:t>,</w:t>
            </w:r>
            <w:r w:rsidRPr="002C69FF">
              <w:rPr>
                <w:rFonts w:eastAsia="Times New Roman" w:cs="Times New Roman"/>
                <w:sz w:val="20"/>
                <w:szCs w:val="20"/>
              </w:rPr>
              <w:t>190</w:t>
            </w:r>
            <w:r>
              <w:rPr>
                <w:rFonts w:eastAsia="Times New Roman" w:cs="Times New Roman"/>
                <w:sz w:val="20"/>
                <w:szCs w:val="20"/>
              </w:rPr>
              <w:t>,</w:t>
            </w:r>
            <w:r w:rsidRPr="002C69FF">
              <w:rPr>
                <w:rFonts w:eastAsia="Times New Roman" w:cs="Times New Roman"/>
                <w:sz w:val="20"/>
                <w:szCs w:val="20"/>
              </w:rPr>
              <w:t>729</w:t>
            </w:r>
            <w:r>
              <w:rPr>
                <w:rFonts w:eastAsia="Times New Roman" w:cs="Times New Roman"/>
                <w:sz w:val="20"/>
                <w:szCs w:val="20"/>
              </w:rPr>
              <w:t>)</w:t>
            </w:r>
          </w:p>
        </w:tc>
        <w:tc>
          <w:tcPr>
            <w:tcW w:w="2250" w:type="dxa"/>
            <w:shd w:val="clear" w:color="auto" w:fill="auto"/>
            <w:noWrap/>
            <w:vAlign w:val="center"/>
          </w:tcPr>
          <w:p w14:paraId="6B14F7A4" w14:textId="1E809842" w:rsidR="00715498" w:rsidRDefault="002C69FF" w:rsidP="00D816DF">
            <w:pPr>
              <w:spacing w:line="240" w:lineRule="auto"/>
              <w:rPr>
                <w:rFonts w:eastAsia="Times New Roman" w:cs="Times New Roman"/>
                <w:sz w:val="20"/>
                <w:szCs w:val="20"/>
              </w:rPr>
            </w:pPr>
            <w:r w:rsidRPr="002C69FF">
              <w:rPr>
                <w:rFonts w:eastAsia="Times New Roman" w:cs="Times New Roman"/>
                <w:sz w:val="20"/>
                <w:szCs w:val="20"/>
              </w:rPr>
              <w:t>74</w:t>
            </w:r>
            <w:r>
              <w:rPr>
                <w:rFonts w:eastAsia="Times New Roman" w:cs="Times New Roman"/>
                <w:sz w:val="20"/>
                <w:szCs w:val="20"/>
              </w:rPr>
              <w:t>,</w:t>
            </w:r>
            <w:r w:rsidRPr="002C69FF">
              <w:rPr>
                <w:rFonts w:eastAsia="Times New Roman" w:cs="Times New Roman"/>
                <w:sz w:val="20"/>
                <w:szCs w:val="20"/>
              </w:rPr>
              <w:t>097</w:t>
            </w:r>
            <w:r>
              <w:rPr>
                <w:rFonts w:eastAsia="Times New Roman" w:cs="Times New Roman"/>
                <w:sz w:val="20"/>
                <w:szCs w:val="20"/>
              </w:rPr>
              <w:t>(DC)-</w:t>
            </w:r>
            <w:r>
              <w:t xml:space="preserve"> </w:t>
            </w:r>
            <w:r w:rsidRPr="002C69FF">
              <w:rPr>
                <w:rFonts w:eastAsia="Times New Roman" w:cs="Times New Roman"/>
                <w:sz w:val="20"/>
                <w:szCs w:val="20"/>
              </w:rPr>
              <w:t>5</w:t>
            </w:r>
            <w:r>
              <w:rPr>
                <w:rFonts w:eastAsia="Times New Roman" w:cs="Times New Roman"/>
                <w:sz w:val="20"/>
                <w:szCs w:val="20"/>
              </w:rPr>
              <w:t>,</w:t>
            </w:r>
            <w:r w:rsidRPr="002C69FF">
              <w:rPr>
                <w:rFonts w:eastAsia="Times New Roman" w:cs="Times New Roman"/>
                <w:sz w:val="20"/>
                <w:szCs w:val="20"/>
              </w:rPr>
              <w:t>338</w:t>
            </w:r>
            <w:r>
              <w:rPr>
                <w:rFonts w:eastAsia="Times New Roman" w:cs="Times New Roman"/>
                <w:sz w:val="20"/>
                <w:szCs w:val="20"/>
              </w:rPr>
              <w:t>,</w:t>
            </w:r>
            <w:r w:rsidRPr="002C69FF">
              <w:rPr>
                <w:rFonts w:eastAsia="Times New Roman" w:cs="Times New Roman"/>
                <w:sz w:val="20"/>
                <w:szCs w:val="20"/>
              </w:rPr>
              <w:t>224</w:t>
            </w:r>
            <w:r>
              <w:rPr>
                <w:rFonts w:eastAsia="Times New Roman" w:cs="Times New Roman"/>
                <w:sz w:val="20"/>
                <w:szCs w:val="20"/>
              </w:rPr>
              <w:t>(CA)</w:t>
            </w:r>
          </w:p>
        </w:tc>
      </w:tr>
      <w:tr w:rsidR="00185C40" w:rsidRPr="00E94A8F" w14:paraId="12EEBC20" w14:textId="77777777" w:rsidTr="00185C40">
        <w:trPr>
          <w:trHeight w:val="301"/>
        </w:trPr>
        <w:tc>
          <w:tcPr>
            <w:tcW w:w="1142" w:type="dxa"/>
            <w:vMerge/>
            <w:shd w:val="clear" w:color="auto" w:fill="auto"/>
            <w:noWrap/>
            <w:vAlign w:val="center"/>
          </w:tcPr>
          <w:p w14:paraId="5DC29676" w14:textId="77777777" w:rsidR="00715498" w:rsidRPr="00F85D5C" w:rsidRDefault="00715498" w:rsidP="00715498">
            <w:pPr>
              <w:spacing w:line="240" w:lineRule="auto"/>
              <w:jc w:val="center"/>
              <w:rPr>
                <w:rFonts w:eastAsia="Times New Roman" w:cs="Times New Roman"/>
                <w:b/>
                <w:sz w:val="20"/>
                <w:szCs w:val="20"/>
              </w:rPr>
            </w:pPr>
          </w:p>
        </w:tc>
        <w:tc>
          <w:tcPr>
            <w:tcW w:w="2700" w:type="dxa"/>
            <w:shd w:val="clear" w:color="auto" w:fill="auto"/>
            <w:noWrap/>
            <w:vAlign w:val="center"/>
          </w:tcPr>
          <w:p w14:paraId="0D13097B" w14:textId="77777777" w:rsidR="00715498" w:rsidRDefault="00715498" w:rsidP="00D816DF">
            <w:pPr>
              <w:spacing w:line="240" w:lineRule="auto"/>
              <w:rPr>
                <w:rFonts w:eastAsia="Times New Roman" w:cs="Times New Roman"/>
                <w:sz w:val="20"/>
                <w:szCs w:val="20"/>
              </w:rPr>
            </w:pPr>
            <w:r>
              <w:rPr>
                <w:rFonts w:eastAsia="Times New Roman" w:cs="Times New Roman"/>
                <w:sz w:val="20"/>
                <w:szCs w:val="20"/>
              </w:rPr>
              <w:t>Telehealth services per Medicare FFS beneficiaries</w:t>
            </w:r>
          </w:p>
        </w:tc>
        <w:tc>
          <w:tcPr>
            <w:tcW w:w="2160" w:type="dxa"/>
            <w:shd w:val="clear" w:color="auto" w:fill="auto"/>
            <w:noWrap/>
            <w:vAlign w:val="center"/>
          </w:tcPr>
          <w:p w14:paraId="2E5F7AA4" w14:textId="5B338FB9" w:rsidR="00715498" w:rsidRDefault="00EA7734" w:rsidP="00D816DF">
            <w:pPr>
              <w:spacing w:line="240" w:lineRule="auto"/>
              <w:rPr>
                <w:rFonts w:eastAsia="Times New Roman" w:cs="Times New Roman"/>
                <w:sz w:val="20"/>
                <w:szCs w:val="20"/>
              </w:rPr>
            </w:pPr>
            <w:r w:rsidRPr="00EA7734">
              <w:rPr>
                <w:rFonts w:eastAsia="Times New Roman" w:cs="Times New Roman"/>
                <w:sz w:val="20"/>
                <w:szCs w:val="20"/>
              </w:rPr>
              <w:t>6.845</w:t>
            </w:r>
            <w:r>
              <w:rPr>
                <w:rFonts w:eastAsia="Times New Roman" w:cs="Times New Roman"/>
                <w:sz w:val="20"/>
                <w:szCs w:val="20"/>
              </w:rPr>
              <w:t>(</w:t>
            </w:r>
            <w:r w:rsidR="00040BA6" w:rsidRPr="00040BA6">
              <w:rPr>
                <w:rFonts w:eastAsia="Times New Roman" w:cs="Times New Roman"/>
                <w:sz w:val="20"/>
                <w:szCs w:val="20"/>
              </w:rPr>
              <w:t>1.794945</w:t>
            </w:r>
            <w:r>
              <w:rPr>
                <w:rFonts w:eastAsia="Times New Roman" w:cs="Times New Roman"/>
                <w:sz w:val="20"/>
                <w:szCs w:val="20"/>
              </w:rPr>
              <w:t>)</w:t>
            </w:r>
          </w:p>
        </w:tc>
        <w:tc>
          <w:tcPr>
            <w:tcW w:w="2250" w:type="dxa"/>
            <w:shd w:val="clear" w:color="auto" w:fill="auto"/>
            <w:noWrap/>
            <w:vAlign w:val="center"/>
          </w:tcPr>
          <w:p w14:paraId="1FF0BFF2" w14:textId="38CF7423" w:rsidR="00715498" w:rsidRDefault="00040BA6" w:rsidP="00D816DF">
            <w:pPr>
              <w:spacing w:line="240" w:lineRule="auto"/>
              <w:rPr>
                <w:rFonts w:eastAsia="Times New Roman" w:cs="Times New Roman"/>
                <w:sz w:val="20"/>
                <w:szCs w:val="20"/>
              </w:rPr>
            </w:pPr>
            <w:r w:rsidRPr="00040BA6">
              <w:rPr>
                <w:rFonts w:eastAsia="Times New Roman" w:cs="Times New Roman"/>
                <w:sz w:val="20"/>
                <w:szCs w:val="20"/>
              </w:rPr>
              <w:t>7.057</w:t>
            </w:r>
            <w:r>
              <w:rPr>
                <w:rFonts w:eastAsia="Times New Roman" w:cs="Times New Roman"/>
                <w:sz w:val="20"/>
                <w:szCs w:val="20"/>
              </w:rPr>
              <w:t>(</w:t>
            </w:r>
            <w:r w:rsidRPr="00040BA6">
              <w:rPr>
                <w:rFonts w:eastAsia="Times New Roman" w:cs="Times New Roman"/>
                <w:sz w:val="20"/>
                <w:szCs w:val="20"/>
              </w:rPr>
              <w:t>5.544</w:t>
            </w:r>
            <w:r>
              <w:rPr>
                <w:rFonts w:eastAsia="Times New Roman" w:cs="Times New Roman"/>
                <w:sz w:val="20"/>
                <w:szCs w:val="20"/>
              </w:rPr>
              <w:t>-</w:t>
            </w:r>
            <w:r w:rsidRPr="00040BA6">
              <w:rPr>
                <w:rFonts w:eastAsia="Times New Roman" w:cs="Times New Roman"/>
                <w:sz w:val="20"/>
                <w:szCs w:val="20"/>
              </w:rPr>
              <w:t>7.598</w:t>
            </w:r>
            <w:r>
              <w:rPr>
                <w:rFonts w:eastAsia="Times New Roman" w:cs="Times New Roman"/>
                <w:sz w:val="20"/>
                <w:szCs w:val="20"/>
              </w:rPr>
              <w:t>)</w:t>
            </w:r>
          </w:p>
        </w:tc>
        <w:tc>
          <w:tcPr>
            <w:tcW w:w="2250" w:type="dxa"/>
            <w:shd w:val="clear" w:color="auto" w:fill="auto"/>
            <w:noWrap/>
            <w:vAlign w:val="center"/>
          </w:tcPr>
          <w:p w14:paraId="72005CA3" w14:textId="55CE13DC" w:rsidR="00715498" w:rsidRDefault="00040BA6" w:rsidP="00D816DF">
            <w:pPr>
              <w:spacing w:line="240" w:lineRule="auto"/>
              <w:rPr>
                <w:rFonts w:eastAsia="Times New Roman" w:cs="Times New Roman"/>
                <w:sz w:val="20"/>
                <w:szCs w:val="20"/>
              </w:rPr>
            </w:pPr>
            <w:r w:rsidRPr="00040BA6">
              <w:rPr>
                <w:rFonts w:eastAsia="Times New Roman" w:cs="Times New Roman"/>
                <w:sz w:val="20"/>
                <w:szCs w:val="20"/>
              </w:rPr>
              <w:t>3.381</w:t>
            </w:r>
            <w:r>
              <w:rPr>
                <w:rFonts w:eastAsia="Times New Roman" w:cs="Times New Roman"/>
                <w:sz w:val="20"/>
                <w:szCs w:val="20"/>
              </w:rPr>
              <w:t>(MN)-</w:t>
            </w:r>
            <w:r>
              <w:t xml:space="preserve"> </w:t>
            </w:r>
            <w:r w:rsidRPr="00040BA6">
              <w:rPr>
                <w:rFonts w:eastAsia="Times New Roman" w:cs="Times New Roman"/>
                <w:sz w:val="20"/>
                <w:szCs w:val="20"/>
              </w:rPr>
              <w:t>11.736</w:t>
            </w:r>
            <w:r>
              <w:rPr>
                <w:rFonts w:eastAsia="Times New Roman" w:cs="Times New Roman"/>
                <w:sz w:val="20"/>
                <w:szCs w:val="20"/>
              </w:rPr>
              <w:t>(DC)</w:t>
            </w:r>
          </w:p>
        </w:tc>
      </w:tr>
      <w:tr w:rsidR="00185C40" w:rsidRPr="00E94A8F" w14:paraId="58511786" w14:textId="77777777" w:rsidTr="00185C40">
        <w:trPr>
          <w:trHeight w:val="301"/>
        </w:trPr>
        <w:tc>
          <w:tcPr>
            <w:tcW w:w="1142" w:type="dxa"/>
            <w:vMerge/>
            <w:shd w:val="clear" w:color="auto" w:fill="auto"/>
            <w:noWrap/>
            <w:vAlign w:val="center"/>
          </w:tcPr>
          <w:p w14:paraId="6BB3C21B" w14:textId="77777777" w:rsidR="00715498" w:rsidRPr="00F85D5C" w:rsidRDefault="00715498" w:rsidP="00715498">
            <w:pPr>
              <w:spacing w:line="240" w:lineRule="auto"/>
              <w:jc w:val="center"/>
              <w:rPr>
                <w:rFonts w:eastAsia="Times New Roman" w:cs="Times New Roman"/>
                <w:b/>
                <w:sz w:val="20"/>
                <w:szCs w:val="20"/>
              </w:rPr>
            </w:pPr>
          </w:p>
        </w:tc>
        <w:tc>
          <w:tcPr>
            <w:tcW w:w="2700" w:type="dxa"/>
            <w:shd w:val="clear" w:color="auto" w:fill="auto"/>
            <w:noWrap/>
            <w:vAlign w:val="center"/>
          </w:tcPr>
          <w:p w14:paraId="6A2A85A2" w14:textId="77777777" w:rsidR="00715498" w:rsidRDefault="00715498" w:rsidP="00D816DF">
            <w:pPr>
              <w:spacing w:line="240" w:lineRule="auto"/>
              <w:rPr>
                <w:rFonts w:eastAsia="Times New Roman" w:cs="Times New Roman"/>
                <w:sz w:val="20"/>
                <w:szCs w:val="20"/>
              </w:rPr>
            </w:pPr>
            <w:r>
              <w:rPr>
                <w:rFonts w:eastAsia="Times New Roman" w:cs="Times New Roman"/>
                <w:sz w:val="20"/>
                <w:szCs w:val="20"/>
              </w:rPr>
              <w:t>Providers with telehealth service per state</w:t>
            </w:r>
          </w:p>
        </w:tc>
        <w:tc>
          <w:tcPr>
            <w:tcW w:w="2160" w:type="dxa"/>
            <w:shd w:val="clear" w:color="auto" w:fill="auto"/>
            <w:noWrap/>
            <w:vAlign w:val="center"/>
          </w:tcPr>
          <w:p w14:paraId="7C55938E" w14:textId="611C6FB3" w:rsidR="00715498" w:rsidRDefault="00B7088E" w:rsidP="00D816DF">
            <w:pPr>
              <w:spacing w:line="240" w:lineRule="auto"/>
              <w:rPr>
                <w:rFonts w:eastAsia="Times New Roman" w:cs="Times New Roman"/>
                <w:sz w:val="20"/>
                <w:szCs w:val="20"/>
              </w:rPr>
            </w:pPr>
            <w:r w:rsidRPr="00B7088E">
              <w:rPr>
                <w:rFonts w:eastAsia="Times New Roman" w:cs="Times New Roman"/>
                <w:sz w:val="20"/>
                <w:szCs w:val="20"/>
              </w:rPr>
              <w:t>12</w:t>
            </w:r>
            <w:r>
              <w:rPr>
                <w:rFonts w:eastAsia="Times New Roman" w:cs="Times New Roman"/>
                <w:sz w:val="20"/>
                <w:szCs w:val="20"/>
              </w:rPr>
              <w:t>,</w:t>
            </w:r>
            <w:r w:rsidRPr="00B7088E">
              <w:rPr>
                <w:rFonts w:eastAsia="Times New Roman" w:cs="Times New Roman"/>
                <w:sz w:val="20"/>
                <w:szCs w:val="20"/>
              </w:rPr>
              <w:t xml:space="preserve">468 </w:t>
            </w:r>
            <w:r w:rsidR="003542BE">
              <w:rPr>
                <w:rFonts w:eastAsia="Times New Roman" w:cs="Times New Roman"/>
                <w:sz w:val="20"/>
                <w:szCs w:val="20"/>
              </w:rPr>
              <w:t>(</w:t>
            </w:r>
            <w:r w:rsidR="003542BE" w:rsidRPr="003542BE">
              <w:rPr>
                <w:rFonts w:eastAsia="Times New Roman" w:cs="Times New Roman"/>
                <w:sz w:val="20"/>
                <w:szCs w:val="20"/>
              </w:rPr>
              <w:t>11</w:t>
            </w:r>
            <w:r w:rsidR="003542BE">
              <w:rPr>
                <w:rFonts w:eastAsia="Times New Roman" w:cs="Times New Roman"/>
                <w:sz w:val="20"/>
                <w:szCs w:val="20"/>
              </w:rPr>
              <w:t>,</w:t>
            </w:r>
            <w:r w:rsidR="003542BE" w:rsidRPr="003542BE">
              <w:rPr>
                <w:rFonts w:eastAsia="Times New Roman" w:cs="Times New Roman"/>
                <w:sz w:val="20"/>
                <w:szCs w:val="20"/>
              </w:rPr>
              <w:t>989.34</w:t>
            </w:r>
            <w:r w:rsidR="003542BE">
              <w:rPr>
                <w:rFonts w:eastAsia="Times New Roman" w:cs="Times New Roman"/>
                <w:sz w:val="20"/>
                <w:szCs w:val="20"/>
              </w:rPr>
              <w:t>)</w:t>
            </w:r>
          </w:p>
        </w:tc>
        <w:tc>
          <w:tcPr>
            <w:tcW w:w="2250" w:type="dxa"/>
            <w:shd w:val="clear" w:color="auto" w:fill="auto"/>
            <w:noWrap/>
            <w:vAlign w:val="center"/>
          </w:tcPr>
          <w:p w14:paraId="7A0AAA84" w14:textId="7B1D734A" w:rsidR="00715498" w:rsidRDefault="003542BE" w:rsidP="00D816DF">
            <w:pPr>
              <w:spacing w:line="240" w:lineRule="auto"/>
              <w:rPr>
                <w:rFonts w:eastAsia="Times New Roman" w:cs="Times New Roman"/>
                <w:sz w:val="20"/>
                <w:szCs w:val="20"/>
              </w:rPr>
            </w:pPr>
            <w:r w:rsidRPr="003542BE">
              <w:rPr>
                <w:rFonts w:eastAsia="Times New Roman" w:cs="Times New Roman"/>
                <w:sz w:val="20"/>
                <w:szCs w:val="20"/>
              </w:rPr>
              <w:t>8</w:t>
            </w:r>
            <w:r>
              <w:rPr>
                <w:rFonts w:eastAsia="Times New Roman" w:cs="Times New Roman"/>
                <w:sz w:val="20"/>
                <w:szCs w:val="20"/>
              </w:rPr>
              <w:t>,</w:t>
            </w:r>
            <w:r w:rsidRPr="003542BE">
              <w:rPr>
                <w:rFonts w:eastAsia="Times New Roman" w:cs="Times New Roman"/>
                <w:sz w:val="20"/>
                <w:szCs w:val="20"/>
              </w:rPr>
              <w:t>682</w:t>
            </w:r>
            <w:r>
              <w:rPr>
                <w:rFonts w:eastAsia="Times New Roman" w:cs="Times New Roman"/>
                <w:sz w:val="20"/>
                <w:szCs w:val="20"/>
              </w:rPr>
              <w:t>(</w:t>
            </w:r>
            <w:r w:rsidRPr="003542BE">
              <w:rPr>
                <w:rFonts w:eastAsia="Times New Roman" w:cs="Times New Roman"/>
                <w:sz w:val="20"/>
                <w:szCs w:val="20"/>
              </w:rPr>
              <w:t>4</w:t>
            </w:r>
            <w:r>
              <w:rPr>
                <w:rFonts w:eastAsia="Times New Roman" w:cs="Times New Roman"/>
                <w:sz w:val="20"/>
                <w:szCs w:val="20"/>
              </w:rPr>
              <w:t>,</w:t>
            </w:r>
            <w:r w:rsidRPr="003542BE">
              <w:rPr>
                <w:rFonts w:eastAsia="Times New Roman" w:cs="Times New Roman"/>
                <w:sz w:val="20"/>
                <w:szCs w:val="20"/>
              </w:rPr>
              <w:t>008</w:t>
            </w:r>
            <w:r>
              <w:rPr>
                <w:rFonts w:eastAsia="Times New Roman" w:cs="Times New Roman"/>
                <w:sz w:val="20"/>
                <w:szCs w:val="20"/>
              </w:rPr>
              <w:t>-</w:t>
            </w:r>
            <w:r w:rsidRPr="003542BE">
              <w:rPr>
                <w:rFonts w:eastAsia="Times New Roman" w:cs="Times New Roman"/>
                <w:sz w:val="20"/>
                <w:szCs w:val="20"/>
              </w:rPr>
              <w:t>15</w:t>
            </w:r>
            <w:r>
              <w:rPr>
                <w:rFonts w:eastAsia="Times New Roman" w:cs="Times New Roman"/>
                <w:sz w:val="20"/>
                <w:szCs w:val="20"/>
              </w:rPr>
              <w:t>,</w:t>
            </w:r>
            <w:r w:rsidRPr="003542BE">
              <w:rPr>
                <w:rFonts w:eastAsia="Times New Roman" w:cs="Times New Roman"/>
                <w:sz w:val="20"/>
                <w:szCs w:val="20"/>
              </w:rPr>
              <w:t>214</w:t>
            </w:r>
            <w:r>
              <w:rPr>
                <w:rFonts w:eastAsia="Times New Roman" w:cs="Times New Roman"/>
                <w:sz w:val="20"/>
                <w:szCs w:val="20"/>
              </w:rPr>
              <w:t>)</w:t>
            </w:r>
          </w:p>
        </w:tc>
        <w:tc>
          <w:tcPr>
            <w:tcW w:w="2250" w:type="dxa"/>
            <w:shd w:val="clear" w:color="auto" w:fill="auto"/>
            <w:noWrap/>
            <w:vAlign w:val="center"/>
          </w:tcPr>
          <w:p w14:paraId="063C7494" w14:textId="3AF1D851" w:rsidR="00715498" w:rsidRDefault="003542BE" w:rsidP="00D816DF">
            <w:pPr>
              <w:spacing w:line="240" w:lineRule="auto"/>
              <w:rPr>
                <w:rFonts w:eastAsia="Times New Roman" w:cs="Times New Roman"/>
                <w:sz w:val="20"/>
                <w:szCs w:val="20"/>
              </w:rPr>
            </w:pPr>
            <w:r w:rsidRPr="003542BE">
              <w:rPr>
                <w:rFonts w:eastAsia="Times New Roman" w:cs="Times New Roman"/>
                <w:sz w:val="20"/>
                <w:szCs w:val="20"/>
              </w:rPr>
              <w:t>1</w:t>
            </w:r>
            <w:r>
              <w:rPr>
                <w:rFonts w:eastAsia="Times New Roman" w:cs="Times New Roman"/>
                <w:sz w:val="20"/>
                <w:szCs w:val="20"/>
              </w:rPr>
              <w:t>,</w:t>
            </w:r>
            <w:r w:rsidRPr="003542BE">
              <w:rPr>
                <w:rFonts w:eastAsia="Times New Roman" w:cs="Times New Roman"/>
                <w:sz w:val="20"/>
                <w:szCs w:val="20"/>
              </w:rPr>
              <w:t>120</w:t>
            </w:r>
            <w:r>
              <w:rPr>
                <w:rFonts w:eastAsia="Times New Roman" w:cs="Times New Roman"/>
                <w:sz w:val="20"/>
                <w:szCs w:val="20"/>
              </w:rPr>
              <w:t>(WY)</w:t>
            </w:r>
            <w:r w:rsidR="00D816DF">
              <w:rPr>
                <w:rFonts w:eastAsia="Times New Roman" w:cs="Times New Roman"/>
                <w:sz w:val="20"/>
                <w:szCs w:val="20"/>
              </w:rPr>
              <w:t>-</w:t>
            </w:r>
            <w:bookmarkStart w:id="1" w:name="_GoBack"/>
            <w:bookmarkEnd w:id="1"/>
            <w:r w:rsidRPr="003542BE">
              <w:rPr>
                <w:rFonts w:eastAsia="Times New Roman" w:cs="Times New Roman"/>
                <w:sz w:val="20"/>
                <w:szCs w:val="20"/>
              </w:rPr>
              <w:t>49</w:t>
            </w:r>
            <w:r>
              <w:rPr>
                <w:rFonts w:eastAsia="Times New Roman" w:cs="Times New Roman"/>
                <w:sz w:val="20"/>
                <w:szCs w:val="20"/>
              </w:rPr>
              <w:t>,</w:t>
            </w:r>
            <w:r w:rsidRPr="003542BE">
              <w:rPr>
                <w:rFonts w:eastAsia="Times New Roman" w:cs="Times New Roman"/>
                <w:sz w:val="20"/>
                <w:szCs w:val="20"/>
              </w:rPr>
              <w:t>987</w:t>
            </w:r>
            <w:r>
              <w:rPr>
                <w:rFonts w:eastAsia="Times New Roman" w:cs="Times New Roman"/>
                <w:sz w:val="20"/>
                <w:szCs w:val="20"/>
              </w:rPr>
              <w:t>(CA)</w:t>
            </w:r>
          </w:p>
        </w:tc>
      </w:tr>
      <w:tr w:rsidR="00185C40" w:rsidRPr="00E94A8F" w14:paraId="10FC10FE" w14:textId="77777777" w:rsidTr="00185C40">
        <w:trPr>
          <w:trHeight w:val="301"/>
        </w:trPr>
        <w:tc>
          <w:tcPr>
            <w:tcW w:w="1142" w:type="dxa"/>
            <w:vMerge/>
            <w:shd w:val="clear" w:color="auto" w:fill="auto"/>
            <w:noWrap/>
            <w:vAlign w:val="center"/>
          </w:tcPr>
          <w:p w14:paraId="3A004DA4" w14:textId="77777777" w:rsidR="00715498" w:rsidRPr="00F85D5C" w:rsidRDefault="00715498" w:rsidP="00715498">
            <w:pPr>
              <w:spacing w:line="240" w:lineRule="auto"/>
              <w:jc w:val="center"/>
              <w:rPr>
                <w:rFonts w:eastAsia="Times New Roman" w:cs="Times New Roman"/>
                <w:b/>
                <w:sz w:val="20"/>
                <w:szCs w:val="20"/>
              </w:rPr>
            </w:pPr>
          </w:p>
        </w:tc>
        <w:tc>
          <w:tcPr>
            <w:tcW w:w="2700" w:type="dxa"/>
            <w:shd w:val="clear" w:color="auto" w:fill="auto"/>
            <w:noWrap/>
            <w:vAlign w:val="center"/>
          </w:tcPr>
          <w:p w14:paraId="38AF5DE0" w14:textId="77777777" w:rsidR="00715498" w:rsidRDefault="00715498" w:rsidP="00D816DF">
            <w:pPr>
              <w:spacing w:line="240" w:lineRule="auto"/>
              <w:rPr>
                <w:rFonts w:eastAsia="Times New Roman" w:cs="Times New Roman"/>
                <w:sz w:val="20"/>
                <w:szCs w:val="20"/>
              </w:rPr>
            </w:pPr>
            <w:r>
              <w:rPr>
                <w:rFonts w:eastAsia="Times New Roman" w:cs="Times New Roman"/>
                <w:sz w:val="20"/>
                <w:szCs w:val="20"/>
              </w:rPr>
              <w:t>Providers with telehealth service per Medicare FFS beneficiaries</w:t>
            </w:r>
          </w:p>
        </w:tc>
        <w:tc>
          <w:tcPr>
            <w:tcW w:w="2160" w:type="dxa"/>
            <w:shd w:val="clear" w:color="auto" w:fill="auto"/>
            <w:noWrap/>
            <w:vAlign w:val="center"/>
          </w:tcPr>
          <w:p w14:paraId="3AB13749" w14:textId="216370B3" w:rsidR="00715498" w:rsidRDefault="00B7088E" w:rsidP="00D816DF">
            <w:pPr>
              <w:spacing w:line="240" w:lineRule="auto"/>
              <w:rPr>
                <w:rFonts w:eastAsia="Times New Roman" w:cs="Times New Roman"/>
                <w:sz w:val="20"/>
                <w:szCs w:val="20"/>
              </w:rPr>
            </w:pPr>
            <w:r w:rsidRPr="00B7088E">
              <w:rPr>
                <w:rFonts w:eastAsia="Times New Roman" w:cs="Times New Roman"/>
                <w:sz w:val="20"/>
                <w:szCs w:val="20"/>
              </w:rPr>
              <w:t>0.012870</w:t>
            </w:r>
            <w:r>
              <w:rPr>
                <w:rFonts w:eastAsia="Times New Roman" w:cs="Times New Roman"/>
                <w:sz w:val="20"/>
                <w:szCs w:val="20"/>
              </w:rPr>
              <w:t>(</w:t>
            </w:r>
            <w:r w:rsidRPr="00B7088E">
              <w:rPr>
                <w:rFonts w:eastAsia="Times New Roman" w:cs="Times New Roman"/>
                <w:sz w:val="20"/>
                <w:szCs w:val="20"/>
              </w:rPr>
              <w:t>0.003245681</w:t>
            </w:r>
            <w:r>
              <w:rPr>
                <w:rFonts w:eastAsia="Times New Roman" w:cs="Times New Roman"/>
                <w:sz w:val="20"/>
                <w:szCs w:val="20"/>
              </w:rPr>
              <w:t>)</w:t>
            </w:r>
          </w:p>
        </w:tc>
        <w:tc>
          <w:tcPr>
            <w:tcW w:w="2250" w:type="dxa"/>
            <w:shd w:val="clear" w:color="auto" w:fill="auto"/>
            <w:noWrap/>
            <w:vAlign w:val="center"/>
          </w:tcPr>
          <w:p w14:paraId="3BA2CE5A" w14:textId="40A7DC37" w:rsidR="00715498" w:rsidRDefault="00B7088E" w:rsidP="00D816DF">
            <w:pPr>
              <w:spacing w:line="240" w:lineRule="auto"/>
              <w:rPr>
                <w:rFonts w:eastAsia="Times New Roman" w:cs="Times New Roman"/>
                <w:sz w:val="20"/>
                <w:szCs w:val="20"/>
              </w:rPr>
            </w:pPr>
            <w:r w:rsidRPr="00B7088E">
              <w:rPr>
                <w:rFonts w:eastAsia="Times New Roman" w:cs="Times New Roman"/>
                <w:sz w:val="20"/>
                <w:szCs w:val="20"/>
              </w:rPr>
              <w:t>0.012243</w:t>
            </w:r>
            <w:r>
              <w:rPr>
                <w:rFonts w:eastAsia="Times New Roman" w:cs="Times New Roman"/>
                <w:sz w:val="20"/>
                <w:szCs w:val="20"/>
              </w:rPr>
              <w:t>(</w:t>
            </w:r>
            <w:r w:rsidRPr="00B7088E">
              <w:rPr>
                <w:rFonts w:eastAsia="Times New Roman" w:cs="Times New Roman"/>
                <w:sz w:val="20"/>
                <w:szCs w:val="20"/>
              </w:rPr>
              <w:t>0.011033</w:t>
            </w:r>
            <w:r>
              <w:rPr>
                <w:rFonts w:eastAsia="Times New Roman" w:cs="Times New Roman"/>
                <w:sz w:val="20"/>
                <w:szCs w:val="20"/>
              </w:rPr>
              <w:t>-</w:t>
            </w:r>
            <w:r>
              <w:t xml:space="preserve"> </w:t>
            </w:r>
            <w:r w:rsidRPr="00B7088E">
              <w:rPr>
                <w:rFonts w:eastAsia="Times New Roman" w:cs="Times New Roman"/>
                <w:sz w:val="20"/>
                <w:szCs w:val="20"/>
              </w:rPr>
              <w:t>0.013965</w:t>
            </w:r>
            <w:r>
              <w:rPr>
                <w:rFonts w:eastAsia="Times New Roman" w:cs="Times New Roman"/>
                <w:sz w:val="20"/>
                <w:szCs w:val="20"/>
              </w:rPr>
              <w:t>)</w:t>
            </w:r>
          </w:p>
        </w:tc>
        <w:tc>
          <w:tcPr>
            <w:tcW w:w="2250" w:type="dxa"/>
            <w:shd w:val="clear" w:color="auto" w:fill="auto"/>
            <w:noWrap/>
            <w:vAlign w:val="center"/>
          </w:tcPr>
          <w:p w14:paraId="6FD31C92" w14:textId="58B5D1CD" w:rsidR="00715498" w:rsidRDefault="00B7088E" w:rsidP="00D816DF">
            <w:pPr>
              <w:spacing w:line="240" w:lineRule="auto"/>
              <w:rPr>
                <w:rFonts w:eastAsia="Times New Roman" w:cs="Times New Roman"/>
                <w:sz w:val="20"/>
                <w:szCs w:val="20"/>
              </w:rPr>
            </w:pPr>
            <w:r w:rsidRPr="00B7088E">
              <w:rPr>
                <w:rFonts w:eastAsia="Times New Roman" w:cs="Times New Roman"/>
                <w:sz w:val="20"/>
                <w:szCs w:val="20"/>
              </w:rPr>
              <w:t>0.008909</w:t>
            </w:r>
            <w:r>
              <w:rPr>
                <w:rFonts w:eastAsia="Times New Roman" w:cs="Times New Roman"/>
                <w:sz w:val="20"/>
                <w:szCs w:val="20"/>
              </w:rPr>
              <w:t>(AL)-</w:t>
            </w:r>
            <w:r>
              <w:t xml:space="preserve"> </w:t>
            </w:r>
            <w:r w:rsidRPr="00B7088E">
              <w:rPr>
                <w:rFonts w:eastAsia="Times New Roman" w:cs="Times New Roman"/>
                <w:sz w:val="20"/>
                <w:szCs w:val="20"/>
              </w:rPr>
              <w:t>0.027815</w:t>
            </w:r>
            <w:r>
              <w:rPr>
                <w:rFonts w:eastAsia="Times New Roman" w:cs="Times New Roman"/>
                <w:sz w:val="20"/>
                <w:szCs w:val="20"/>
              </w:rPr>
              <w:t>(DC)</w:t>
            </w:r>
          </w:p>
        </w:tc>
      </w:tr>
      <w:tr w:rsidR="00185C40" w:rsidRPr="00E94A8F" w14:paraId="3AE23DAC" w14:textId="77777777" w:rsidTr="00185C40">
        <w:trPr>
          <w:trHeight w:val="301"/>
        </w:trPr>
        <w:tc>
          <w:tcPr>
            <w:tcW w:w="1142" w:type="dxa"/>
            <w:vMerge/>
            <w:shd w:val="clear" w:color="auto" w:fill="auto"/>
            <w:noWrap/>
            <w:vAlign w:val="center"/>
          </w:tcPr>
          <w:p w14:paraId="31248ECE" w14:textId="77777777" w:rsidR="00715498" w:rsidRPr="00F85D5C" w:rsidRDefault="00715498" w:rsidP="00715498">
            <w:pPr>
              <w:spacing w:line="240" w:lineRule="auto"/>
              <w:jc w:val="center"/>
              <w:rPr>
                <w:rFonts w:eastAsia="Times New Roman" w:cs="Times New Roman"/>
                <w:b/>
                <w:sz w:val="20"/>
                <w:szCs w:val="20"/>
              </w:rPr>
            </w:pPr>
          </w:p>
        </w:tc>
        <w:tc>
          <w:tcPr>
            <w:tcW w:w="2700" w:type="dxa"/>
            <w:shd w:val="clear" w:color="auto" w:fill="auto"/>
            <w:noWrap/>
            <w:vAlign w:val="center"/>
          </w:tcPr>
          <w:p w14:paraId="628746F5" w14:textId="77777777" w:rsidR="00715498" w:rsidRPr="00BC6B4E" w:rsidRDefault="00715498" w:rsidP="00D816DF">
            <w:pPr>
              <w:spacing w:line="240" w:lineRule="auto"/>
              <w:rPr>
                <w:rFonts w:eastAsia="Times New Roman" w:cs="Times New Roman"/>
                <w:sz w:val="20"/>
                <w:szCs w:val="20"/>
              </w:rPr>
            </w:pPr>
            <w:r>
              <w:rPr>
                <w:rFonts w:eastAsia="Times New Roman" w:cs="Times New Roman"/>
                <w:sz w:val="20"/>
                <w:szCs w:val="20"/>
              </w:rPr>
              <w:t>Telehealth services per provider</w:t>
            </w:r>
          </w:p>
        </w:tc>
        <w:tc>
          <w:tcPr>
            <w:tcW w:w="2160" w:type="dxa"/>
            <w:shd w:val="clear" w:color="auto" w:fill="auto"/>
            <w:noWrap/>
            <w:vAlign w:val="center"/>
          </w:tcPr>
          <w:p w14:paraId="7ABA01D6" w14:textId="5CEAD371" w:rsidR="00715498" w:rsidRDefault="00E96EE0" w:rsidP="00D816DF">
            <w:pPr>
              <w:spacing w:line="240" w:lineRule="auto"/>
              <w:rPr>
                <w:rFonts w:eastAsia="Times New Roman" w:cs="Times New Roman"/>
                <w:sz w:val="20"/>
                <w:szCs w:val="20"/>
              </w:rPr>
            </w:pPr>
            <w:r w:rsidRPr="00E96EE0">
              <w:rPr>
                <w:rFonts w:eastAsia="Times New Roman" w:cs="Times New Roman"/>
                <w:sz w:val="20"/>
                <w:szCs w:val="20"/>
              </w:rPr>
              <w:t>534.7</w:t>
            </w:r>
            <w:r>
              <w:rPr>
                <w:rFonts w:eastAsia="Times New Roman" w:cs="Times New Roman"/>
                <w:sz w:val="20"/>
                <w:szCs w:val="20"/>
              </w:rPr>
              <w:t>(</w:t>
            </w:r>
            <w:r w:rsidRPr="00E96EE0">
              <w:rPr>
                <w:rFonts w:eastAsia="Times New Roman" w:cs="Times New Roman"/>
                <w:sz w:val="20"/>
                <w:szCs w:val="20"/>
              </w:rPr>
              <w:t>146.3568</w:t>
            </w:r>
            <w:r>
              <w:rPr>
                <w:rFonts w:eastAsia="Times New Roman" w:cs="Times New Roman"/>
                <w:sz w:val="20"/>
                <w:szCs w:val="20"/>
              </w:rPr>
              <w:t>)</w:t>
            </w:r>
          </w:p>
        </w:tc>
        <w:tc>
          <w:tcPr>
            <w:tcW w:w="2250" w:type="dxa"/>
            <w:shd w:val="clear" w:color="auto" w:fill="auto"/>
            <w:noWrap/>
            <w:vAlign w:val="center"/>
          </w:tcPr>
          <w:p w14:paraId="4CE570F8" w14:textId="54596B42" w:rsidR="00715498" w:rsidRDefault="00E96EE0" w:rsidP="00D816DF">
            <w:pPr>
              <w:spacing w:line="240" w:lineRule="auto"/>
              <w:rPr>
                <w:rFonts w:eastAsia="Times New Roman" w:cs="Times New Roman"/>
                <w:sz w:val="20"/>
                <w:szCs w:val="20"/>
              </w:rPr>
            </w:pPr>
            <w:r w:rsidRPr="00E96EE0">
              <w:rPr>
                <w:rFonts w:eastAsia="Times New Roman" w:cs="Times New Roman"/>
                <w:sz w:val="20"/>
                <w:szCs w:val="20"/>
              </w:rPr>
              <w:t>531.3</w:t>
            </w:r>
            <w:r>
              <w:rPr>
                <w:rFonts w:eastAsia="Times New Roman" w:cs="Times New Roman"/>
                <w:sz w:val="20"/>
                <w:szCs w:val="20"/>
              </w:rPr>
              <w:t>(</w:t>
            </w:r>
            <w:r w:rsidRPr="00E96EE0">
              <w:rPr>
                <w:rFonts w:eastAsia="Times New Roman" w:cs="Times New Roman"/>
                <w:sz w:val="20"/>
                <w:szCs w:val="20"/>
              </w:rPr>
              <w:t>407.5</w:t>
            </w:r>
            <w:r>
              <w:rPr>
                <w:rFonts w:eastAsia="Times New Roman" w:cs="Times New Roman"/>
                <w:sz w:val="20"/>
                <w:szCs w:val="20"/>
              </w:rPr>
              <w:t>-</w:t>
            </w:r>
            <w:r>
              <w:t xml:space="preserve"> </w:t>
            </w:r>
            <w:r w:rsidRPr="00E96EE0">
              <w:rPr>
                <w:rFonts w:eastAsia="Times New Roman" w:cs="Times New Roman"/>
                <w:sz w:val="20"/>
                <w:szCs w:val="20"/>
              </w:rPr>
              <w:t>638.2</w:t>
            </w:r>
            <w:r>
              <w:rPr>
                <w:rFonts w:eastAsia="Times New Roman" w:cs="Times New Roman"/>
                <w:sz w:val="20"/>
                <w:szCs w:val="20"/>
              </w:rPr>
              <w:t>)</w:t>
            </w:r>
          </w:p>
        </w:tc>
        <w:tc>
          <w:tcPr>
            <w:tcW w:w="2250" w:type="dxa"/>
            <w:shd w:val="clear" w:color="auto" w:fill="auto"/>
            <w:noWrap/>
            <w:vAlign w:val="center"/>
          </w:tcPr>
          <w:p w14:paraId="192BA83F" w14:textId="68CDD7D1" w:rsidR="00715498" w:rsidRDefault="00E96EE0" w:rsidP="00D816DF">
            <w:pPr>
              <w:spacing w:line="240" w:lineRule="auto"/>
              <w:rPr>
                <w:rFonts w:eastAsia="Times New Roman" w:cs="Times New Roman"/>
                <w:sz w:val="20"/>
                <w:szCs w:val="20"/>
              </w:rPr>
            </w:pPr>
            <w:r w:rsidRPr="00E96EE0">
              <w:rPr>
                <w:rFonts w:eastAsia="Times New Roman" w:cs="Times New Roman"/>
                <w:sz w:val="20"/>
                <w:szCs w:val="20"/>
              </w:rPr>
              <w:t>208.5</w:t>
            </w:r>
            <w:r>
              <w:rPr>
                <w:rFonts w:eastAsia="Times New Roman" w:cs="Times New Roman"/>
                <w:sz w:val="20"/>
                <w:szCs w:val="20"/>
              </w:rPr>
              <w:t>(MN)-</w:t>
            </w:r>
            <w:r w:rsidRPr="00E96EE0">
              <w:rPr>
                <w:rFonts w:eastAsia="Times New Roman" w:cs="Times New Roman"/>
                <w:sz w:val="20"/>
                <w:szCs w:val="20"/>
              </w:rPr>
              <w:t>815.8</w:t>
            </w:r>
            <w:r>
              <w:rPr>
                <w:rFonts w:eastAsia="Times New Roman" w:cs="Times New Roman"/>
                <w:sz w:val="20"/>
                <w:szCs w:val="20"/>
              </w:rPr>
              <w:t>(MS)</w:t>
            </w:r>
          </w:p>
        </w:tc>
      </w:tr>
      <w:tr w:rsidR="00185C40" w:rsidRPr="00E94A8F" w14:paraId="5645BAE6" w14:textId="77777777" w:rsidTr="00185C40">
        <w:trPr>
          <w:trHeight w:val="301"/>
        </w:trPr>
        <w:tc>
          <w:tcPr>
            <w:tcW w:w="1142" w:type="dxa"/>
            <w:vMerge w:val="restart"/>
            <w:shd w:val="clear" w:color="auto" w:fill="auto"/>
            <w:noWrap/>
            <w:vAlign w:val="center"/>
          </w:tcPr>
          <w:p w14:paraId="1464BF96" w14:textId="77777777" w:rsidR="00785B7E" w:rsidRPr="00F85D5C" w:rsidRDefault="00785B7E" w:rsidP="00715498">
            <w:pPr>
              <w:spacing w:line="240" w:lineRule="auto"/>
              <w:jc w:val="center"/>
              <w:rPr>
                <w:rFonts w:eastAsia="Times New Roman" w:cs="Times New Roman"/>
                <w:b/>
                <w:sz w:val="20"/>
                <w:szCs w:val="20"/>
              </w:rPr>
            </w:pPr>
            <w:r w:rsidRPr="00F85D5C">
              <w:rPr>
                <w:rFonts w:eastAsia="Times New Roman" w:cs="Times New Roman"/>
                <w:b/>
                <w:sz w:val="20"/>
                <w:szCs w:val="20"/>
              </w:rPr>
              <w:t>2017</w:t>
            </w:r>
          </w:p>
        </w:tc>
        <w:tc>
          <w:tcPr>
            <w:tcW w:w="2700" w:type="dxa"/>
            <w:shd w:val="clear" w:color="auto" w:fill="auto"/>
            <w:noWrap/>
            <w:vAlign w:val="center"/>
          </w:tcPr>
          <w:p w14:paraId="781697A2" w14:textId="77777777" w:rsidR="00785B7E" w:rsidRPr="00BC6B4E" w:rsidRDefault="00785B7E" w:rsidP="00D816DF">
            <w:pPr>
              <w:spacing w:line="240" w:lineRule="auto"/>
              <w:rPr>
                <w:rFonts w:eastAsia="Times New Roman" w:cs="Times New Roman"/>
                <w:sz w:val="20"/>
                <w:szCs w:val="20"/>
              </w:rPr>
            </w:pPr>
            <w:r>
              <w:rPr>
                <w:rFonts w:eastAsia="Times New Roman" w:cs="Times New Roman"/>
                <w:sz w:val="20"/>
                <w:szCs w:val="20"/>
              </w:rPr>
              <w:t>Telehealth services per state</w:t>
            </w:r>
          </w:p>
        </w:tc>
        <w:tc>
          <w:tcPr>
            <w:tcW w:w="2160" w:type="dxa"/>
            <w:shd w:val="clear" w:color="auto" w:fill="auto"/>
            <w:noWrap/>
            <w:vAlign w:val="center"/>
          </w:tcPr>
          <w:p w14:paraId="15C42042" w14:textId="72248960" w:rsidR="00785B7E" w:rsidRPr="00BC6B4E" w:rsidRDefault="008201C6" w:rsidP="00D816DF">
            <w:pPr>
              <w:spacing w:line="240" w:lineRule="auto"/>
              <w:rPr>
                <w:rFonts w:eastAsia="Times New Roman" w:cs="Times New Roman"/>
                <w:sz w:val="20"/>
                <w:szCs w:val="20"/>
              </w:rPr>
            </w:pPr>
            <w:r w:rsidRPr="008201C6">
              <w:rPr>
                <w:rFonts w:eastAsia="Times New Roman" w:cs="Times New Roman"/>
                <w:sz w:val="20"/>
                <w:szCs w:val="20"/>
              </w:rPr>
              <w:t>7</w:t>
            </w:r>
            <w:r w:rsidR="008B2412">
              <w:rPr>
                <w:rFonts w:eastAsia="Times New Roman" w:cs="Times New Roman"/>
                <w:sz w:val="20"/>
                <w:szCs w:val="20"/>
              </w:rPr>
              <w:t>,</w:t>
            </w:r>
            <w:r w:rsidRPr="008201C6">
              <w:rPr>
                <w:rFonts w:eastAsia="Times New Roman" w:cs="Times New Roman"/>
                <w:sz w:val="20"/>
                <w:szCs w:val="20"/>
              </w:rPr>
              <w:t>372</w:t>
            </w:r>
            <w:r w:rsidR="008B2412">
              <w:rPr>
                <w:rFonts w:eastAsia="Times New Roman" w:cs="Times New Roman"/>
                <w:sz w:val="20"/>
                <w:szCs w:val="20"/>
              </w:rPr>
              <w:t>,</w:t>
            </w:r>
            <w:r w:rsidRPr="008201C6">
              <w:rPr>
                <w:rFonts w:eastAsia="Times New Roman" w:cs="Times New Roman"/>
                <w:sz w:val="20"/>
                <w:szCs w:val="20"/>
              </w:rPr>
              <w:t xml:space="preserve">401 </w:t>
            </w:r>
            <w:r>
              <w:rPr>
                <w:rFonts w:eastAsia="Times New Roman" w:cs="Times New Roman"/>
                <w:sz w:val="20"/>
                <w:szCs w:val="20"/>
              </w:rPr>
              <w:t>(</w:t>
            </w:r>
            <w:r w:rsidRPr="008201C6">
              <w:rPr>
                <w:rFonts w:eastAsia="Times New Roman" w:cs="Times New Roman"/>
                <w:sz w:val="20"/>
                <w:szCs w:val="20"/>
              </w:rPr>
              <w:t>7</w:t>
            </w:r>
            <w:r w:rsidR="008B2412">
              <w:rPr>
                <w:rFonts w:eastAsia="Times New Roman" w:cs="Times New Roman"/>
                <w:sz w:val="20"/>
                <w:szCs w:val="20"/>
              </w:rPr>
              <w:t>,</w:t>
            </w:r>
            <w:r w:rsidRPr="008201C6">
              <w:rPr>
                <w:rFonts w:eastAsia="Times New Roman" w:cs="Times New Roman"/>
                <w:sz w:val="20"/>
                <w:szCs w:val="20"/>
              </w:rPr>
              <w:t>954</w:t>
            </w:r>
            <w:r w:rsidR="008B2412">
              <w:rPr>
                <w:rFonts w:eastAsia="Times New Roman" w:cs="Times New Roman"/>
                <w:sz w:val="20"/>
                <w:szCs w:val="20"/>
              </w:rPr>
              <w:t>,</w:t>
            </w:r>
            <w:r w:rsidRPr="008201C6">
              <w:rPr>
                <w:rFonts w:eastAsia="Times New Roman" w:cs="Times New Roman"/>
                <w:sz w:val="20"/>
                <w:szCs w:val="20"/>
              </w:rPr>
              <w:t>465</w:t>
            </w:r>
            <w:r>
              <w:rPr>
                <w:rFonts w:eastAsia="Times New Roman" w:cs="Times New Roman"/>
                <w:sz w:val="20"/>
                <w:szCs w:val="20"/>
              </w:rPr>
              <w:t>)</w:t>
            </w:r>
          </w:p>
        </w:tc>
        <w:tc>
          <w:tcPr>
            <w:tcW w:w="2250" w:type="dxa"/>
            <w:shd w:val="clear" w:color="auto" w:fill="auto"/>
            <w:noWrap/>
            <w:vAlign w:val="center"/>
          </w:tcPr>
          <w:p w14:paraId="201647F0" w14:textId="6A2B7774" w:rsidR="00785B7E" w:rsidRPr="00BC6B4E" w:rsidRDefault="008201C6" w:rsidP="00D816DF">
            <w:pPr>
              <w:spacing w:line="240" w:lineRule="auto"/>
              <w:rPr>
                <w:rFonts w:eastAsia="Times New Roman" w:cs="Times New Roman"/>
                <w:sz w:val="20"/>
                <w:szCs w:val="20"/>
              </w:rPr>
            </w:pPr>
            <w:r w:rsidRPr="008201C6">
              <w:rPr>
                <w:rFonts w:eastAsia="Times New Roman" w:cs="Times New Roman"/>
                <w:sz w:val="20"/>
                <w:szCs w:val="20"/>
              </w:rPr>
              <w:t>5</w:t>
            </w:r>
            <w:r w:rsidR="008B2412">
              <w:rPr>
                <w:rFonts w:eastAsia="Times New Roman" w:cs="Times New Roman"/>
                <w:sz w:val="20"/>
                <w:szCs w:val="20"/>
              </w:rPr>
              <w:t>,</w:t>
            </w:r>
            <w:r w:rsidRPr="008201C6">
              <w:rPr>
                <w:rFonts w:eastAsia="Times New Roman" w:cs="Times New Roman"/>
                <w:sz w:val="20"/>
                <w:szCs w:val="20"/>
              </w:rPr>
              <w:t>048</w:t>
            </w:r>
            <w:r w:rsidR="008B2412">
              <w:rPr>
                <w:rFonts w:eastAsia="Times New Roman" w:cs="Times New Roman"/>
                <w:sz w:val="20"/>
                <w:szCs w:val="20"/>
              </w:rPr>
              <w:t>,</w:t>
            </w:r>
            <w:r w:rsidRPr="008201C6">
              <w:rPr>
                <w:rFonts w:eastAsia="Times New Roman" w:cs="Times New Roman"/>
                <w:sz w:val="20"/>
                <w:szCs w:val="20"/>
              </w:rPr>
              <w:t>504</w:t>
            </w:r>
            <w:r>
              <w:rPr>
                <w:rFonts w:eastAsia="Times New Roman" w:cs="Times New Roman"/>
                <w:sz w:val="20"/>
                <w:szCs w:val="20"/>
              </w:rPr>
              <w:t>(</w:t>
            </w:r>
            <w:r w:rsidRPr="008201C6">
              <w:rPr>
                <w:rFonts w:eastAsia="Times New Roman" w:cs="Times New Roman"/>
                <w:sz w:val="20"/>
                <w:szCs w:val="20"/>
              </w:rPr>
              <w:t>1</w:t>
            </w:r>
            <w:r w:rsidR="008B2412">
              <w:rPr>
                <w:rFonts w:eastAsia="Times New Roman" w:cs="Times New Roman"/>
                <w:sz w:val="20"/>
                <w:szCs w:val="20"/>
              </w:rPr>
              <w:t>,</w:t>
            </w:r>
            <w:r w:rsidRPr="008201C6">
              <w:rPr>
                <w:rFonts w:eastAsia="Times New Roman" w:cs="Times New Roman"/>
                <w:sz w:val="20"/>
                <w:szCs w:val="20"/>
              </w:rPr>
              <w:t>794</w:t>
            </w:r>
            <w:r w:rsidR="008B2412">
              <w:rPr>
                <w:rFonts w:eastAsia="Times New Roman" w:cs="Times New Roman"/>
                <w:sz w:val="20"/>
                <w:szCs w:val="20"/>
              </w:rPr>
              <w:t>,</w:t>
            </w:r>
            <w:r w:rsidRPr="008201C6">
              <w:rPr>
                <w:rFonts w:eastAsia="Times New Roman" w:cs="Times New Roman"/>
                <w:sz w:val="20"/>
                <w:szCs w:val="20"/>
              </w:rPr>
              <w:t>121</w:t>
            </w:r>
            <w:r>
              <w:rPr>
                <w:rFonts w:eastAsia="Times New Roman" w:cs="Times New Roman"/>
                <w:sz w:val="20"/>
                <w:szCs w:val="20"/>
              </w:rPr>
              <w:t>-</w:t>
            </w:r>
            <w:r>
              <w:t xml:space="preserve"> </w:t>
            </w:r>
            <w:r w:rsidRPr="008201C6">
              <w:rPr>
                <w:rFonts w:eastAsia="Times New Roman" w:cs="Times New Roman"/>
                <w:sz w:val="20"/>
                <w:szCs w:val="20"/>
              </w:rPr>
              <w:t>9</w:t>
            </w:r>
            <w:r w:rsidR="008B2412">
              <w:rPr>
                <w:rFonts w:eastAsia="Times New Roman" w:cs="Times New Roman"/>
                <w:sz w:val="20"/>
                <w:szCs w:val="20"/>
              </w:rPr>
              <w:t>,</w:t>
            </w:r>
            <w:r w:rsidRPr="008201C6">
              <w:rPr>
                <w:rFonts w:eastAsia="Times New Roman" w:cs="Times New Roman"/>
                <w:sz w:val="20"/>
                <w:szCs w:val="20"/>
              </w:rPr>
              <w:t>967</w:t>
            </w:r>
            <w:r w:rsidR="008B2412">
              <w:rPr>
                <w:rFonts w:eastAsia="Times New Roman" w:cs="Times New Roman"/>
                <w:sz w:val="20"/>
                <w:szCs w:val="20"/>
              </w:rPr>
              <w:t>,</w:t>
            </w:r>
            <w:r w:rsidRPr="008201C6">
              <w:rPr>
                <w:rFonts w:eastAsia="Times New Roman" w:cs="Times New Roman"/>
                <w:sz w:val="20"/>
                <w:szCs w:val="20"/>
              </w:rPr>
              <w:t>211</w:t>
            </w:r>
            <w:r>
              <w:rPr>
                <w:rFonts w:eastAsia="Times New Roman" w:cs="Times New Roman"/>
                <w:sz w:val="20"/>
                <w:szCs w:val="20"/>
              </w:rPr>
              <w:t>)</w:t>
            </w:r>
          </w:p>
        </w:tc>
        <w:tc>
          <w:tcPr>
            <w:tcW w:w="2250" w:type="dxa"/>
            <w:shd w:val="clear" w:color="auto" w:fill="auto"/>
            <w:noWrap/>
            <w:vAlign w:val="center"/>
          </w:tcPr>
          <w:p w14:paraId="11D2925D" w14:textId="4A6DE916" w:rsidR="00785B7E" w:rsidRPr="00BC6B4E" w:rsidRDefault="003349D9" w:rsidP="00D816DF">
            <w:pPr>
              <w:spacing w:line="240" w:lineRule="auto"/>
              <w:rPr>
                <w:rFonts w:eastAsia="Times New Roman" w:cs="Times New Roman"/>
                <w:sz w:val="20"/>
                <w:szCs w:val="20"/>
              </w:rPr>
            </w:pPr>
            <w:r w:rsidRPr="003349D9">
              <w:rPr>
                <w:rFonts w:eastAsia="Times New Roman" w:cs="Times New Roman"/>
                <w:sz w:val="20"/>
                <w:szCs w:val="20"/>
              </w:rPr>
              <w:t>468</w:t>
            </w:r>
            <w:r w:rsidR="008B2412">
              <w:rPr>
                <w:rFonts w:eastAsia="Times New Roman" w:cs="Times New Roman"/>
                <w:sz w:val="20"/>
                <w:szCs w:val="20"/>
              </w:rPr>
              <w:t>,</w:t>
            </w:r>
            <w:r w:rsidRPr="003349D9">
              <w:rPr>
                <w:rFonts w:eastAsia="Times New Roman" w:cs="Times New Roman"/>
                <w:sz w:val="20"/>
                <w:szCs w:val="20"/>
              </w:rPr>
              <w:t>479</w:t>
            </w:r>
            <w:r w:rsidR="008201C6">
              <w:rPr>
                <w:rFonts w:eastAsia="Times New Roman" w:cs="Times New Roman"/>
                <w:sz w:val="20"/>
                <w:szCs w:val="20"/>
              </w:rPr>
              <w:t>(AK)-</w:t>
            </w:r>
            <w:r w:rsidR="008201C6">
              <w:t xml:space="preserve"> </w:t>
            </w:r>
            <w:r w:rsidR="008201C6" w:rsidRPr="008201C6">
              <w:rPr>
                <w:rFonts w:eastAsia="Times New Roman" w:cs="Times New Roman"/>
                <w:sz w:val="20"/>
                <w:szCs w:val="20"/>
              </w:rPr>
              <w:t>33</w:t>
            </w:r>
            <w:r w:rsidR="008B2412">
              <w:rPr>
                <w:rFonts w:eastAsia="Times New Roman" w:cs="Times New Roman"/>
                <w:sz w:val="20"/>
                <w:szCs w:val="20"/>
              </w:rPr>
              <w:t>,</w:t>
            </w:r>
            <w:r w:rsidR="008201C6" w:rsidRPr="008201C6">
              <w:rPr>
                <w:rFonts w:eastAsia="Times New Roman" w:cs="Times New Roman"/>
                <w:sz w:val="20"/>
                <w:szCs w:val="20"/>
              </w:rPr>
              <w:t>290</w:t>
            </w:r>
            <w:r w:rsidR="008B2412">
              <w:rPr>
                <w:rFonts w:eastAsia="Times New Roman" w:cs="Times New Roman"/>
                <w:sz w:val="20"/>
                <w:szCs w:val="20"/>
              </w:rPr>
              <w:t>,</w:t>
            </w:r>
            <w:r w:rsidR="008201C6" w:rsidRPr="008201C6">
              <w:rPr>
                <w:rFonts w:eastAsia="Times New Roman" w:cs="Times New Roman"/>
                <w:sz w:val="20"/>
                <w:szCs w:val="20"/>
              </w:rPr>
              <w:t>068</w:t>
            </w:r>
            <w:r w:rsidR="008201C6">
              <w:rPr>
                <w:rFonts w:eastAsia="Times New Roman" w:cs="Times New Roman"/>
                <w:sz w:val="20"/>
                <w:szCs w:val="20"/>
              </w:rPr>
              <w:t>(FL)</w:t>
            </w:r>
          </w:p>
        </w:tc>
      </w:tr>
      <w:tr w:rsidR="00185C40" w:rsidRPr="00E94A8F" w14:paraId="7A83D3AE" w14:textId="77777777" w:rsidTr="00185C40">
        <w:trPr>
          <w:trHeight w:val="301"/>
        </w:trPr>
        <w:tc>
          <w:tcPr>
            <w:tcW w:w="1142" w:type="dxa"/>
            <w:vMerge/>
            <w:shd w:val="clear" w:color="auto" w:fill="auto"/>
            <w:noWrap/>
            <w:vAlign w:val="center"/>
          </w:tcPr>
          <w:p w14:paraId="4C1FDD79" w14:textId="77777777" w:rsidR="00785B7E" w:rsidRPr="00F85D5C" w:rsidRDefault="00785B7E" w:rsidP="00715498">
            <w:pPr>
              <w:spacing w:line="240" w:lineRule="auto"/>
              <w:jc w:val="center"/>
              <w:rPr>
                <w:rFonts w:eastAsia="Times New Roman" w:cs="Times New Roman"/>
                <w:b/>
                <w:sz w:val="20"/>
                <w:szCs w:val="20"/>
              </w:rPr>
            </w:pPr>
          </w:p>
        </w:tc>
        <w:tc>
          <w:tcPr>
            <w:tcW w:w="2700" w:type="dxa"/>
            <w:shd w:val="clear" w:color="auto" w:fill="auto"/>
            <w:noWrap/>
            <w:vAlign w:val="center"/>
          </w:tcPr>
          <w:p w14:paraId="7D805594" w14:textId="77777777" w:rsidR="00785B7E" w:rsidRDefault="00785B7E" w:rsidP="00D816DF">
            <w:pPr>
              <w:spacing w:line="240" w:lineRule="auto"/>
              <w:rPr>
                <w:rFonts w:eastAsia="Times New Roman" w:cs="Times New Roman"/>
                <w:sz w:val="20"/>
                <w:szCs w:val="20"/>
              </w:rPr>
            </w:pPr>
            <w:r>
              <w:rPr>
                <w:rFonts w:eastAsia="Times New Roman" w:cs="Times New Roman"/>
                <w:sz w:val="20"/>
                <w:szCs w:val="20"/>
              </w:rPr>
              <w:t>Medicare FFS beneficiaries per state</w:t>
            </w:r>
          </w:p>
        </w:tc>
        <w:tc>
          <w:tcPr>
            <w:tcW w:w="2160" w:type="dxa"/>
            <w:shd w:val="clear" w:color="auto" w:fill="auto"/>
            <w:noWrap/>
            <w:vAlign w:val="center"/>
          </w:tcPr>
          <w:p w14:paraId="3F5FFAD0" w14:textId="288A11D1" w:rsidR="00785B7E" w:rsidRDefault="002C69FF" w:rsidP="00D816DF">
            <w:pPr>
              <w:spacing w:line="240" w:lineRule="auto"/>
              <w:rPr>
                <w:rFonts w:eastAsia="Times New Roman" w:cs="Times New Roman"/>
                <w:sz w:val="20"/>
                <w:szCs w:val="20"/>
              </w:rPr>
            </w:pPr>
            <w:r w:rsidRPr="002C69FF">
              <w:rPr>
                <w:rFonts w:eastAsia="Times New Roman" w:cs="Times New Roman"/>
                <w:sz w:val="20"/>
                <w:szCs w:val="20"/>
              </w:rPr>
              <w:t>5</w:t>
            </w:r>
            <w:r>
              <w:rPr>
                <w:rFonts w:eastAsia="Times New Roman" w:cs="Times New Roman"/>
                <w:sz w:val="20"/>
                <w:szCs w:val="20"/>
              </w:rPr>
              <w:t>,</w:t>
            </w:r>
            <w:r w:rsidRPr="002C69FF">
              <w:rPr>
                <w:rFonts w:eastAsia="Times New Roman" w:cs="Times New Roman"/>
                <w:sz w:val="20"/>
                <w:szCs w:val="20"/>
              </w:rPr>
              <w:t>338</w:t>
            </w:r>
            <w:r>
              <w:rPr>
                <w:rFonts w:eastAsia="Times New Roman" w:cs="Times New Roman"/>
                <w:sz w:val="20"/>
                <w:szCs w:val="20"/>
              </w:rPr>
              <w:t>,</w:t>
            </w:r>
            <w:r w:rsidRPr="002C69FF">
              <w:rPr>
                <w:rFonts w:eastAsia="Times New Roman" w:cs="Times New Roman"/>
                <w:sz w:val="20"/>
                <w:szCs w:val="20"/>
              </w:rPr>
              <w:t>224</w:t>
            </w:r>
            <w:r>
              <w:rPr>
                <w:rFonts w:eastAsia="Times New Roman" w:cs="Times New Roman"/>
                <w:sz w:val="20"/>
                <w:szCs w:val="20"/>
              </w:rPr>
              <w:t>(</w:t>
            </w:r>
            <w:r w:rsidRPr="002C69FF">
              <w:rPr>
                <w:rFonts w:eastAsia="Times New Roman" w:cs="Times New Roman"/>
                <w:sz w:val="20"/>
                <w:szCs w:val="20"/>
              </w:rPr>
              <w:t>1</w:t>
            </w:r>
            <w:r>
              <w:rPr>
                <w:rFonts w:eastAsia="Times New Roman" w:cs="Times New Roman"/>
                <w:sz w:val="20"/>
                <w:szCs w:val="20"/>
              </w:rPr>
              <w:t>,</w:t>
            </w:r>
            <w:r w:rsidRPr="002C69FF">
              <w:rPr>
                <w:rFonts w:eastAsia="Times New Roman" w:cs="Times New Roman"/>
                <w:sz w:val="20"/>
                <w:szCs w:val="20"/>
              </w:rPr>
              <w:t>101</w:t>
            </w:r>
            <w:r>
              <w:rPr>
                <w:rFonts w:eastAsia="Times New Roman" w:cs="Times New Roman"/>
                <w:sz w:val="20"/>
                <w:szCs w:val="20"/>
              </w:rPr>
              <w:t>,</w:t>
            </w:r>
            <w:r w:rsidRPr="002C69FF">
              <w:rPr>
                <w:rFonts w:eastAsia="Times New Roman" w:cs="Times New Roman"/>
                <w:sz w:val="20"/>
                <w:szCs w:val="20"/>
              </w:rPr>
              <w:t>445</w:t>
            </w:r>
            <w:r>
              <w:rPr>
                <w:rFonts w:eastAsia="Times New Roman" w:cs="Times New Roman"/>
                <w:sz w:val="20"/>
                <w:szCs w:val="20"/>
              </w:rPr>
              <w:t>)</w:t>
            </w:r>
          </w:p>
        </w:tc>
        <w:tc>
          <w:tcPr>
            <w:tcW w:w="2250" w:type="dxa"/>
            <w:shd w:val="clear" w:color="auto" w:fill="auto"/>
            <w:noWrap/>
            <w:vAlign w:val="center"/>
          </w:tcPr>
          <w:p w14:paraId="6025D4B4" w14:textId="47368A2E" w:rsidR="00785B7E" w:rsidRDefault="002C69FF" w:rsidP="00D816DF">
            <w:pPr>
              <w:spacing w:line="240" w:lineRule="auto"/>
              <w:rPr>
                <w:rFonts w:eastAsia="Times New Roman" w:cs="Times New Roman"/>
                <w:sz w:val="20"/>
                <w:szCs w:val="20"/>
              </w:rPr>
            </w:pPr>
            <w:r w:rsidRPr="002C69FF">
              <w:rPr>
                <w:rFonts w:eastAsia="Times New Roman" w:cs="Times New Roman"/>
                <w:sz w:val="20"/>
                <w:szCs w:val="20"/>
              </w:rPr>
              <w:t>789</w:t>
            </w:r>
            <w:r>
              <w:rPr>
                <w:rFonts w:eastAsia="Times New Roman" w:cs="Times New Roman"/>
                <w:sz w:val="20"/>
                <w:szCs w:val="20"/>
              </w:rPr>
              <w:t>,</w:t>
            </w:r>
            <w:r w:rsidRPr="002C69FF">
              <w:rPr>
                <w:rFonts w:eastAsia="Times New Roman" w:cs="Times New Roman"/>
                <w:sz w:val="20"/>
                <w:szCs w:val="20"/>
              </w:rPr>
              <w:t>379</w:t>
            </w:r>
            <w:r>
              <w:rPr>
                <w:rFonts w:eastAsia="Times New Roman" w:cs="Times New Roman"/>
                <w:sz w:val="20"/>
                <w:szCs w:val="20"/>
              </w:rPr>
              <w:t>(</w:t>
            </w:r>
            <w:r w:rsidRPr="002C69FF">
              <w:rPr>
                <w:rFonts w:eastAsia="Times New Roman" w:cs="Times New Roman"/>
                <w:sz w:val="20"/>
                <w:szCs w:val="20"/>
              </w:rPr>
              <w:t>309</w:t>
            </w:r>
            <w:r>
              <w:rPr>
                <w:rFonts w:eastAsia="Times New Roman" w:cs="Times New Roman"/>
                <w:sz w:val="20"/>
                <w:szCs w:val="20"/>
              </w:rPr>
              <w:t>,</w:t>
            </w:r>
            <w:r w:rsidRPr="002C69FF">
              <w:rPr>
                <w:rFonts w:eastAsia="Times New Roman" w:cs="Times New Roman"/>
                <w:sz w:val="20"/>
                <w:szCs w:val="20"/>
              </w:rPr>
              <w:t>536</w:t>
            </w:r>
            <w:r>
              <w:rPr>
                <w:rFonts w:eastAsia="Times New Roman" w:cs="Times New Roman"/>
                <w:sz w:val="20"/>
                <w:szCs w:val="20"/>
              </w:rPr>
              <w:t>-</w:t>
            </w:r>
            <w:r>
              <w:t xml:space="preserve"> </w:t>
            </w:r>
            <w:r w:rsidRPr="002C69FF">
              <w:rPr>
                <w:rFonts w:eastAsia="Times New Roman" w:cs="Times New Roman"/>
                <w:sz w:val="20"/>
                <w:szCs w:val="20"/>
              </w:rPr>
              <w:t>1</w:t>
            </w:r>
            <w:r>
              <w:rPr>
                <w:rFonts w:eastAsia="Times New Roman" w:cs="Times New Roman"/>
                <w:sz w:val="20"/>
                <w:szCs w:val="20"/>
              </w:rPr>
              <w:t>,</w:t>
            </w:r>
            <w:r w:rsidRPr="002C69FF">
              <w:rPr>
                <w:rFonts w:eastAsia="Times New Roman" w:cs="Times New Roman"/>
                <w:sz w:val="20"/>
                <w:szCs w:val="20"/>
              </w:rPr>
              <w:t>222</w:t>
            </w:r>
            <w:r>
              <w:rPr>
                <w:rFonts w:eastAsia="Times New Roman" w:cs="Times New Roman"/>
                <w:sz w:val="20"/>
                <w:szCs w:val="20"/>
              </w:rPr>
              <w:t>,</w:t>
            </w:r>
            <w:r w:rsidRPr="002C69FF">
              <w:rPr>
                <w:rFonts w:eastAsia="Times New Roman" w:cs="Times New Roman"/>
                <w:sz w:val="20"/>
                <w:szCs w:val="20"/>
              </w:rPr>
              <w:t>558</w:t>
            </w:r>
            <w:r>
              <w:rPr>
                <w:rFonts w:eastAsia="Times New Roman" w:cs="Times New Roman"/>
                <w:sz w:val="20"/>
                <w:szCs w:val="20"/>
              </w:rPr>
              <w:t>)</w:t>
            </w:r>
          </w:p>
        </w:tc>
        <w:tc>
          <w:tcPr>
            <w:tcW w:w="2250" w:type="dxa"/>
            <w:shd w:val="clear" w:color="auto" w:fill="auto"/>
            <w:noWrap/>
            <w:vAlign w:val="center"/>
          </w:tcPr>
          <w:p w14:paraId="265DE0BF" w14:textId="0A27E6CE" w:rsidR="00785B7E" w:rsidRDefault="002C69FF" w:rsidP="00D816DF">
            <w:pPr>
              <w:spacing w:line="240" w:lineRule="auto"/>
              <w:rPr>
                <w:rFonts w:eastAsia="Times New Roman" w:cs="Times New Roman"/>
                <w:sz w:val="20"/>
                <w:szCs w:val="20"/>
              </w:rPr>
            </w:pPr>
            <w:r w:rsidRPr="002C69FF">
              <w:rPr>
                <w:rFonts w:eastAsia="Times New Roman" w:cs="Times New Roman"/>
                <w:sz w:val="20"/>
                <w:szCs w:val="20"/>
              </w:rPr>
              <w:t>76</w:t>
            </w:r>
            <w:r>
              <w:rPr>
                <w:rFonts w:eastAsia="Times New Roman" w:cs="Times New Roman"/>
                <w:sz w:val="20"/>
                <w:szCs w:val="20"/>
              </w:rPr>
              <w:t>,</w:t>
            </w:r>
            <w:r w:rsidRPr="002C69FF">
              <w:rPr>
                <w:rFonts w:eastAsia="Times New Roman" w:cs="Times New Roman"/>
                <w:sz w:val="20"/>
                <w:szCs w:val="20"/>
              </w:rPr>
              <w:t>084</w:t>
            </w:r>
            <w:r>
              <w:rPr>
                <w:rFonts w:eastAsia="Times New Roman" w:cs="Times New Roman"/>
                <w:sz w:val="20"/>
                <w:szCs w:val="20"/>
              </w:rPr>
              <w:t>(DC)-</w:t>
            </w:r>
            <w:r>
              <w:t xml:space="preserve"> </w:t>
            </w:r>
            <w:r w:rsidRPr="002C69FF">
              <w:rPr>
                <w:rFonts w:eastAsia="Times New Roman" w:cs="Times New Roman"/>
                <w:sz w:val="20"/>
                <w:szCs w:val="20"/>
              </w:rPr>
              <w:t>5</w:t>
            </w:r>
            <w:r>
              <w:rPr>
                <w:rFonts w:eastAsia="Times New Roman" w:cs="Times New Roman"/>
                <w:sz w:val="20"/>
                <w:szCs w:val="20"/>
              </w:rPr>
              <w:t>,</w:t>
            </w:r>
            <w:r w:rsidRPr="002C69FF">
              <w:rPr>
                <w:rFonts w:eastAsia="Times New Roman" w:cs="Times New Roman"/>
                <w:sz w:val="20"/>
                <w:szCs w:val="20"/>
              </w:rPr>
              <w:t>478</w:t>
            </w:r>
            <w:r>
              <w:rPr>
                <w:rFonts w:eastAsia="Times New Roman" w:cs="Times New Roman"/>
                <w:sz w:val="20"/>
                <w:szCs w:val="20"/>
              </w:rPr>
              <w:t>,</w:t>
            </w:r>
            <w:r w:rsidRPr="002C69FF">
              <w:rPr>
                <w:rFonts w:eastAsia="Times New Roman" w:cs="Times New Roman"/>
                <w:sz w:val="20"/>
                <w:szCs w:val="20"/>
              </w:rPr>
              <w:t>663</w:t>
            </w:r>
            <w:r>
              <w:rPr>
                <w:rFonts w:eastAsia="Times New Roman" w:cs="Times New Roman"/>
                <w:sz w:val="20"/>
                <w:szCs w:val="20"/>
              </w:rPr>
              <w:t>(CA)</w:t>
            </w:r>
          </w:p>
        </w:tc>
      </w:tr>
      <w:tr w:rsidR="00185C40" w:rsidRPr="00E94A8F" w14:paraId="4254D37B" w14:textId="77777777" w:rsidTr="00185C40">
        <w:trPr>
          <w:trHeight w:val="301"/>
        </w:trPr>
        <w:tc>
          <w:tcPr>
            <w:tcW w:w="1142" w:type="dxa"/>
            <w:vMerge/>
            <w:shd w:val="clear" w:color="auto" w:fill="auto"/>
            <w:noWrap/>
            <w:vAlign w:val="center"/>
          </w:tcPr>
          <w:p w14:paraId="2E5CA150" w14:textId="77777777" w:rsidR="00785B7E" w:rsidRPr="00F85D5C" w:rsidRDefault="00785B7E" w:rsidP="00715498">
            <w:pPr>
              <w:spacing w:line="240" w:lineRule="auto"/>
              <w:jc w:val="center"/>
              <w:rPr>
                <w:rFonts w:eastAsia="Times New Roman" w:cs="Times New Roman"/>
                <w:b/>
                <w:sz w:val="20"/>
                <w:szCs w:val="20"/>
              </w:rPr>
            </w:pPr>
          </w:p>
        </w:tc>
        <w:tc>
          <w:tcPr>
            <w:tcW w:w="2700" w:type="dxa"/>
            <w:shd w:val="clear" w:color="auto" w:fill="auto"/>
            <w:noWrap/>
            <w:vAlign w:val="center"/>
            <w:hideMark/>
          </w:tcPr>
          <w:p w14:paraId="32A55181" w14:textId="77777777" w:rsidR="00785B7E" w:rsidRDefault="00785B7E" w:rsidP="00D816DF">
            <w:pPr>
              <w:spacing w:line="240" w:lineRule="auto"/>
              <w:rPr>
                <w:rFonts w:eastAsia="Times New Roman" w:cs="Times New Roman"/>
                <w:sz w:val="20"/>
                <w:szCs w:val="20"/>
              </w:rPr>
            </w:pPr>
            <w:r>
              <w:rPr>
                <w:rFonts w:eastAsia="Times New Roman" w:cs="Times New Roman"/>
                <w:sz w:val="20"/>
                <w:szCs w:val="20"/>
              </w:rPr>
              <w:t>Telehealth services per Medicare FFS beneficiaries</w:t>
            </w:r>
          </w:p>
        </w:tc>
        <w:tc>
          <w:tcPr>
            <w:tcW w:w="2160" w:type="dxa"/>
            <w:shd w:val="clear" w:color="auto" w:fill="auto"/>
            <w:noWrap/>
            <w:vAlign w:val="center"/>
          </w:tcPr>
          <w:p w14:paraId="0B349ABB" w14:textId="2EA8D9DA" w:rsidR="00785B7E" w:rsidRPr="00BC6B4E" w:rsidRDefault="00040BA6" w:rsidP="00D816DF">
            <w:pPr>
              <w:spacing w:line="240" w:lineRule="auto"/>
              <w:rPr>
                <w:rFonts w:eastAsia="Times New Roman" w:cs="Times New Roman"/>
                <w:sz w:val="20"/>
                <w:szCs w:val="20"/>
              </w:rPr>
            </w:pPr>
            <w:r w:rsidRPr="00040BA6">
              <w:rPr>
                <w:rFonts w:eastAsia="Times New Roman" w:cs="Times New Roman"/>
                <w:sz w:val="20"/>
                <w:szCs w:val="20"/>
              </w:rPr>
              <w:t>6.724</w:t>
            </w:r>
            <w:r>
              <w:rPr>
                <w:rFonts w:eastAsia="Times New Roman" w:cs="Times New Roman"/>
                <w:sz w:val="20"/>
                <w:szCs w:val="20"/>
              </w:rPr>
              <w:t>(</w:t>
            </w:r>
            <w:r w:rsidRPr="00040BA6">
              <w:rPr>
                <w:rFonts w:eastAsia="Times New Roman" w:cs="Times New Roman"/>
                <w:sz w:val="20"/>
                <w:szCs w:val="20"/>
              </w:rPr>
              <w:t>1.780606</w:t>
            </w:r>
            <w:r>
              <w:rPr>
                <w:rFonts w:eastAsia="Times New Roman" w:cs="Times New Roman"/>
                <w:sz w:val="20"/>
                <w:szCs w:val="20"/>
              </w:rPr>
              <w:t>)</w:t>
            </w:r>
          </w:p>
        </w:tc>
        <w:tc>
          <w:tcPr>
            <w:tcW w:w="2250" w:type="dxa"/>
            <w:shd w:val="clear" w:color="auto" w:fill="auto"/>
            <w:noWrap/>
            <w:vAlign w:val="center"/>
          </w:tcPr>
          <w:p w14:paraId="7C20BBBE" w14:textId="5253EB58" w:rsidR="00785B7E" w:rsidRPr="00BC6B4E" w:rsidRDefault="00040BA6" w:rsidP="00D816DF">
            <w:pPr>
              <w:spacing w:line="240" w:lineRule="auto"/>
              <w:rPr>
                <w:rFonts w:eastAsia="Times New Roman" w:cs="Times New Roman"/>
                <w:sz w:val="20"/>
                <w:szCs w:val="20"/>
              </w:rPr>
            </w:pPr>
            <w:r w:rsidRPr="00040BA6">
              <w:rPr>
                <w:rFonts w:eastAsia="Times New Roman" w:cs="Times New Roman"/>
                <w:sz w:val="20"/>
                <w:szCs w:val="20"/>
              </w:rPr>
              <w:t>11.736</w:t>
            </w:r>
            <w:r>
              <w:rPr>
                <w:rFonts w:eastAsia="Times New Roman" w:cs="Times New Roman"/>
                <w:sz w:val="20"/>
                <w:szCs w:val="20"/>
              </w:rPr>
              <w:t>(</w:t>
            </w:r>
            <w:r w:rsidRPr="00040BA6">
              <w:rPr>
                <w:rFonts w:eastAsia="Times New Roman" w:cs="Times New Roman"/>
                <w:sz w:val="20"/>
                <w:szCs w:val="20"/>
              </w:rPr>
              <w:t>5.466</w:t>
            </w:r>
            <w:r>
              <w:rPr>
                <w:rFonts w:eastAsia="Times New Roman" w:cs="Times New Roman"/>
                <w:sz w:val="20"/>
                <w:szCs w:val="20"/>
              </w:rPr>
              <w:t>-</w:t>
            </w:r>
            <w:r>
              <w:t xml:space="preserve"> </w:t>
            </w:r>
            <w:r w:rsidRPr="00040BA6">
              <w:rPr>
                <w:rFonts w:eastAsia="Times New Roman" w:cs="Times New Roman"/>
                <w:sz w:val="20"/>
                <w:szCs w:val="20"/>
              </w:rPr>
              <w:t>7.541</w:t>
            </w:r>
            <w:r>
              <w:rPr>
                <w:rFonts w:eastAsia="Times New Roman" w:cs="Times New Roman"/>
                <w:sz w:val="20"/>
                <w:szCs w:val="20"/>
              </w:rPr>
              <w:t>)</w:t>
            </w:r>
          </w:p>
        </w:tc>
        <w:tc>
          <w:tcPr>
            <w:tcW w:w="2250" w:type="dxa"/>
            <w:shd w:val="clear" w:color="auto" w:fill="auto"/>
            <w:noWrap/>
            <w:vAlign w:val="center"/>
          </w:tcPr>
          <w:p w14:paraId="0ECF50A0" w14:textId="364BE41E" w:rsidR="00785B7E" w:rsidRPr="00BC6B4E" w:rsidRDefault="00040BA6" w:rsidP="00D816DF">
            <w:pPr>
              <w:spacing w:line="240" w:lineRule="auto"/>
              <w:rPr>
                <w:rFonts w:eastAsia="Times New Roman" w:cs="Times New Roman"/>
                <w:sz w:val="20"/>
                <w:szCs w:val="20"/>
              </w:rPr>
            </w:pPr>
            <w:r w:rsidRPr="00040BA6">
              <w:rPr>
                <w:rFonts w:eastAsia="Times New Roman" w:cs="Times New Roman"/>
                <w:sz w:val="20"/>
                <w:szCs w:val="20"/>
              </w:rPr>
              <w:t>3.301</w:t>
            </w:r>
            <w:r>
              <w:rPr>
                <w:rFonts w:eastAsia="Times New Roman" w:cs="Times New Roman"/>
                <w:sz w:val="20"/>
                <w:szCs w:val="20"/>
              </w:rPr>
              <w:t>(MN)-</w:t>
            </w:r>
            <w:r>
              <w:t xml:space="preserve"> </w:t>
            </w:r>
            <w:r w:rsidRPr="00040BA6">
              <w:rPr>
                <w:rFonts w:eastAsia="Times New Roman" w:cs="Times New Roman"/>
                <w:sz w:val="20"/>
                <w:szCs w:val="20"/>
              </w:rPr>
              <w:t>12.227</w:t>
            </w:r>
            <w:r>
              <w:rPr>
                <w:rFonts w:eastAsia="Times New Roman" w:cs="Times New Roman"/>
                <w:sz w:val="20"/>
                <w:szCs w:val="20"/>
              </w:rPr>
              <w:t>(DC)</w:t>
            </w:r>
          </w:p>
        </w:tc>
      </w:tr>
      <w:tr w:rsidR="00185C40" w:rsidRPr="00E94A8F" w14:paraId="1CD3D963" w14:textId="77777777" w:rsidTr="00185C40">
        <w:trPr>
          <w:trHeight w:val="301"/>
        </w:trPr>
        <w:tc>
          <w:tcPr>
            <w:tcW w:w="1142" w:type="dxa"/>
            <w:vMerge/>
            <w:shd w:val="clear" w:color="auto" w:fill="auto"/>
            <w:noWrap/>
            <w:vAlign w:val="center"/>
          </w:tcPr>
          <w:p w14:paraId="4B41E8DB" w14:textId="77777777" w:rsidR="00785B7E" w:rsidRPr="00F85D5C" w:rsidRDefault="00785B7E" w:rsidP="00715498">
            <w:pPr>
              <w:spacing w:line="240" w:lineRule="auto"/>
              <w:jc w:val="center"/>
              <w:rPr>
                <w:rFonts w:eastAsia="Times New Roman" w:cs="Times New Roman"/>
                <w:b/>
                <w:sz w:val="20"/>
                <w:szCs w:val="20"/>
              </w:rPr>
            </w:pPr>
          </w:p>
        </w:tc>
        <w:tc>
          <w:tcPr>
            <w:tcW w:w="2700" w:type="dxa"/>
            <w:shd w:val="clear" w:color="auto" w:fill="auto"/>
            <w:noWrap/>
            <w:vAlign w:val="center"/>
            <w:hideMark/>
          </w:tcPr>
          <w:p w14:paraId="3A8EE4DD" w14:textId="77777777" w:rsidR="00785B7E" w:rsidRDefault="00785B7E" w:rsidP="00D816DF">
            <w:pPr>
              <w:spacing w:line="240" w:lineRule="auto"/>
              <w:rPr>
                <w:rFonts w:eastAsia="Times New Roman" w:cs="Times New Roman"/>
                <w:sz w:val="20"/>
                <w:szCs w:val="20"/>
              </w:rPr>
            </w:pPr>
            <w:r>
              <w:rPr>
                <w:rFonts w:eastAsia="Times New Roman" w:cs="Times New Roman"/>
                <w:sz w:val="20"/>
                <w:szCs w:val="20"/>
              </w:rPr>
              <w:t>Providers with telehealth service per state</w:t>
            </w:r>
          </w:p>
        </w:tc>
        <w:tc>
          <w:tcPr>
            <w:tcW w:w="2160" w:type="dxa"/>
            <w:shd w:val="clear" w:color="auto" w:fill="auto"/>
            <w:noWrap/>
            <w:vAlign w:val="center"/>
          </w:tcPr>
          <w:p w14:paraId="16EEBAD2" w14:textId="1EE9B7DF" w:rsidR="00785B7E" w:rsidRPr="00BC6B4E" w:rsidRDefault="00B7088E" w:rsidP="00D816DF">
            <w:pPr>
              <w:spacing w:line="240" w:lineRule="auto"/>
              <w:rPr>
                <w:rFonts w:eastAsia="Times New Roman" w:cs="Times New Roman"/>
                <w:sz w:val="20"/>
                <w:szCs w:val="20"/>
              </w:rPr>
            </w:pPr>
            <w:r w:rsidRPr="00B7088E">
              <w:rPr>
                <w:rFonts w:eastAsia="Times New Roman" w:cs="Times New Roman"/>
                <w:sz w:val="20"/>
                <w:szCs w:val="20"/>
              </w:rPr>
              <w:t>12</w:t>
            </w:r>
            <w:r>
              <w:rPr>
                <w:rFonts w:eastAsia="Times New Roman" w:cs="Times New Roman"/>
                <w:sz w:val="20"/>
                <w:szCs w:val="20"/>
              </w:rPr>
              <w:t>,</w:t>
            </w:r>
            <w:r w:rsidRPr="00B7088E">
              <w:rPr>
                <w:rFonts w:eastAsia="Times New Roman" w:cs="Times New Roman"/>
                <w:sz w:val="20"/>
                <w:szCs w:val="20"/>
              </w:rPr>
              <w:t>898</w:t>
            </w:r>
            <w:r>
              <w:rPr>
                <w:rFonts w:eastAsia="Times New Roman" w:cs="Times New Roman"/>
                <w:sz w:val="20"/>
                <w:szCs w:val="20"/>
              </w:rPr>
              <w:t>(</w:t>
            </w:r>
            <w:r w:rsidRPr="00B7088E">
              <w:rPr>
                <w:rFonts w:eastAsia="Times New Roman" w:cs="Times New Roman"/>
                <w:sz w:val="20"/>
                <w:szCs w:val="20"/>
              </w:rPr>
              <w:t>12</w:t>
            </w:r>
            <w:r>
              <w:rPr>
                <w:rFonts w:eastAsia="Times New Roman" w:cs="Times New Roman"/>
                <w:sz w:val="20"/>
                <w:szCs w:val="20"/>
              </w:rPr>
              <w:t>,</w:t>
            </w:r>
            <w:r w:rsidRPr="00B7088E">
              <w:rPr>
                <w:rFonts w:eastAsia="Times New Roman" w:cs="Times New Roman"/>
                <w:sz w:val="20"/>
                <w:szCs w:val="20"/>
              </w:rPr>
              <w:t>387.63</w:t>
            </w:r>
            <w:r>
              <w:rPr>
                <w:rFonts w:eastAsia="Times New Roman" w:cs="Times New Roman"/>
                <w:sz w:val="20"/>
                <w:szCs w:val="20"/>
              </w:rPr>
              <w:t>)</w:t>
            </w:r>
          </w:p>
        </w:tc>
        <w:tc>
          <w:tcPr>
            <w:tcW w:w="2250" w:type="dxa"/>
            <w:shd w:val="clear" w:color="auto" w:fill="auto"/>
            <w:noWrap/>
            <w:vAlign w:val="center"/>
          </w:tcPr>
          <w:p w14:paraId="5F81B72B" w14:textId="5B9E5D3F" w:rsidR="00785B7E" w:rsidRPr="00BC6B4E" w:rsidRDefault="00B7088E" w:rsidP="00D816DF">
            <w:pPr>
              <w:spacing w:line="240" w:lineRule="auto"/>
              <w:rPr>
                <w:rFonts w:eastAsia="Times New Roman" w:cs="Times New Roman"/>
                <w:sz w:val="20"/>
                <w:szCs w:val="20"/>
              </w:rPr>
            </w:pPr>
            <w:r w:rsidRPr="00B7088E">
              <w:rPr>
                <w:rFonts w:eastAsia="Times New Roman" w:cs="Times New Roman"/>
                <w:sz w:val="20"/>
                <w:szCs w:val="20"/>
              </w:rPr>
              <w:t>8</w:t>
            </w:r>
            <w:r>
              <w:rPr>
                <w:rFonts w:eastAsia="Times New Roman" w:cs="Times New Roman"/>
                <w:sz w:val="20"/>
                <w:szCs w:val="20"/>
              </w:rPr>
              <w:t>,</w:t>
            </w:r>
            <w:r w:rsidRPr="00B7088E">
              <w:rPr>
                <w:rFonts w:eastAsia="Times New Roman" w:cs="Times New Roman"/>
                <w:sz w:val="20"/>
                <w:szCs w:val="20"/>
              </w:rPr>
              <w:t>932</w:t>
            </w:r>
            <w:r>
              <w:rPr>
                <w:rFonts w:eastAsia="Times New Roman" w:cs="Times New Roman"/>
                <w:sz w:val="20"/>
                <w:szCs w:val="20"/>
              </w:rPr>
              <w:t>(</w:t>
            </w:r>
            <w:r w:rsidRPr="00B7088E">
              <w:rPr>
                <w:rFonts w:eastAsia="Times New Roman" w:cs="Times New Roman"/>
                <w:sz w:val="20"/>
                <w:szCs w:val="20"/>
              </w:rPr>
              <w:t>4</w:t>
            </w:r>
            <w:r>
              <w:rPr>
                <w:rFonts w:eastAsia="Times New Roman" w:cs="Times New Roman"/>
                <w:sz w:val="20"/>
                <w:szCs w:val="20"/>
              </w:rPr>
              <w:t>,</w:t>
            </w:r>
            <w:r w:rsidRPr="00B7088E">
              <w:rPr>
                <w:rFonts w:eastAsia="Times New Roman" w:cs="Times New Roman"/>
                <w:sz w:val="20"/>
                <w:szCs w:val="20"/>
              </w:rPr>
              <w:t>122</w:t>
            </w:r>
            <w:r>
              <w:rPr>
                <w:rFonts w:eastAsia="Times New Roman" w:cs="Times New Roman"/>
                <w:sz w:val="20"/>
                <w:szCs w:val="20"/>
              </w:rPr>
              <w:t>-</w:t>
            </w:r>
            <w:r>
              <w:t xml:space="preserve"> </w:t>
            </w:r>
            <w:r w:rsidRPr="00B7088E">
              <w:rPr>
                <w:rFonts w:eastAsia="Times New Roman" w:cs="Times New Roman"/>
                <w:sz w:val="20"/>
                <w:szCs w:val="20"/>
              </w:rPr>
              <w:t>15</w:t>
            </w:r>
            <w:r>
              <w:rPr>
                <w:rFonts w:eastAsia="Times New Roman" w:cs="Times New Roman"/>
                <w:sz w:val="20"/>
                <w:szCs w:val="20"/>
              </w:rPr>
              <w:t>,</w:t>
            </w:r>
            <w:r w:rsidRPr="00B7088E">
              <w:rPr>
                <w:rFonts w:eastAsia="Times New Roman" w:cs="Times New Roman"/>
                <w:sz w:val="20"/>
                <w:szCs w:val="20"/>
              </w:rPr>
              <w:t>695</w:t>
            </w:r>
            <w:r>
              <w:rPr>
                <w:rFonts w:eastAsia="Times New Roman" w:cs="Times New Roman"/>
                <w:sz w:val="20"/>
                <w:szCs w:val="20"/>
              </w:rPr>
              <w:t>)</w:t>
            </w:r>
          </w:p>
        </w:tc>
        <w:tc>
          <w:tcPr>
            <w:tcW w:w="2250" w:type="dxa"/>
            <w:shd w:val="clear" w:color="auto" w:fill="auto"/>
            <w:noWrap/>
            <w:vAlign w:val="center"/>
          </w:tcPr>
          <w:p w14:paraId="0E5CE542" w14:textId="6D16BA50" w:rsidR="00785B7E" w:rsidRPr="00BC6B4E" w:rsidRDefault="00B7088E" w:rsidP="00D816DF">
            <w:pPr>
              <w:spacing w:line="240" w:lineRule="auto"/>
              <w:rPr>
                <w:rFonts w:eastAsia="Times New Roman" w:cs="Times New Roman"/>
                <w:sz w:val="20"/>
                <w:szCs w:val="20"/>
              </w:rPr>
            </w:pPr>
            <w:r w:rsidRPr="00B7088E">
              <w:rPr>
                <w:rFonts w:eastAsia="Times New Roman" w:cs="Times New Roman"/>
                <w:sz w:val="20"/>
                <w:szCs w:val="20"/>
              </w:rPr>
              <w:t>1</w:t>
            </w:r>
            <w:r>
              <w:rPr>
                <w:rFonts w:eastAsia="Times New Roman" w:cs="Times New Roman"/>
                <w:sz w:val="20"/>
                <w:szCs w:val="20"/>
              </w:rPr>
              <w:t>,</w:t>
            </w:r>
            <w:r w:rsidRPr="00B7088E">
              <w:rPr>
                <w:rFonts w:eastAsia="Times New Roman" w:cs="Times New Roman"/>
                <w:sz w:val="20"/>
                <w:szCs w:val="20"/>
              </w:rPr>
              <w:t>130</w:t>
            </w:r>
            <w:r>
              <w:rPr>
                <w:rFonts w:eastAsia="Times New Roman" w:cs="Times New Roman"/>
                <w:sz w:val="20"/>
                <w:szCs w:val="20"/>
              </w:rPr>
              <w:t>(WY)-</w:t>
            </w:r>
            <w:r>
              <w:t xml:space="preserve"> </w:t>
            </w:r>
            <w:r w:rsidRPr="00B7088E">
              <w:rPr>
                <w:rFonts w:eastAsia="Times New Roman" w:cs="Times New Roman"/>
                <w:sz w:val="20"/>
                <w:szCs w:val="20"/>
              </w:rPr>
              <w:t>51</w:t>
            </w:r>
            <w:r>
              <w:rPr>
                <w:rFonts w:eastAsia="Times New Roman" w:cs="Times New Roman"/>
                <w:sz w:val="20"/>
                <w:szCs w:val="20"/>
              </w:rPr>
              <w:t>,</w:t>
            </w:r>
            <w:r w:rsidRPr="00B7088E">
              <w:rPr>
                <w:rFonts w:eastAsia="Times New Roman" w:cs="Times New Roman"/>
                <w:sz w:val="20"/>
                <w:szCs w:val="20"/>
              </w:rPr>
              <w:t>721</w:t>
            </w:r>
            <w:r>
              <w:rPr>
                <w:rFonts w:eastAsia="Times New Roman" w:cs="Times New Roman"/>
                <w:sz w:val="20"/>
                <w:szCs w:val="20"/>
              </w:rPr>
              <w:t>(CA)</w:t>
            </w:r>
          </w:p>
        </w:tc>
      </w:tr>
      <w:tr w:rsidR="00185C40" w:rsidRPr="00E94A8F" w14:paraId="28853222" w14:textId="77777777" w:rsidTr="00185C40">
        <w:trPr>
          <w:trHeight w:val="301"/>
        </w:trPr>
        <w:tc>
          <w:tcPr>
            <w:tcW w:w="1142" w:type="dxa"/>
            <w:vMerge/>
            <w:shd w:val="clear" w:color="auto" w:fill="auto"/>
            <w:noWrap/>
            <w:vAlign w:val="center"/>
          </w:tcPr>
          <w:p w14:paraId="06477E97" w14:textId="77777777" w:rsidR="00785B7E" w:rsidRPr="00F85D5C" w:rsidRDefault="00785B7E" w:rsidP="00715498">
            <w:pPr>
              <w:spacing w:line="240" w:lineRule="auto"/>
              <w:jc w:val="center"/>
              <w:rPr>
                <w:rFonts w:eastAsia="Times New Roman" w:cs="Times New Roman"/>
                <w:b/>
                <w:sz w:val="20"/>
                <w:szCs w:val="20"/>
              </w:rPr>
            </w:pPr>
          </w:p>
        </w:tc>
        <w:tc>
          <w:tcPr>
            <w:tcW w:w="2700" w:type="dxa"/>
            <w:shd w:val="clear" w:color="auto" w:fill="auto"/>
            <w:noWrap/>
            <w:vAlign w:val="center"/>
            <w:hideMark/>
          </w:tcPr>
          <w:p w14:paraId="7FD00F3D" w14:textId="77777777" w:rsidR="00785B7E" w:rsidRDefault="00785B7E" w:rsidP="00D816DF">
            <w:pPr>
              <w:spacing w:line="240" w:lineRule="auto"/>
              <w:rPr>
                <w:rFonts w:eastAsia="Times New Roman" w:cs="Times New Roman"/>
                <w:sz w:val="20"/>
                <w:szCs w:val="20"/>
              </w:rPr>
            </w:pPr>
            <w:r>
              <w:rPr>
                <w:rFonts w:eastAsia="Times New Roman" w:cs="Times New Roman"/>
                <w:sz w:val="20"/>
                <w:szCs w:val="20"/>
              </w:rPr>
              <w:t>Providers with telehealth service per Medicare FFS beneficiaries</w:t>
            </w:r>
          </w:p>
        </w:tc>
        <w:tc>
          <w:tcPr>
            <w:tcW w:w="2160" w:type="dxa"/>
            <w:shd w:val="clear" w:color="auto" w:fill="auto"/>
            <w:noWrap/>
            <w:vAlign w:val="center"/>
          </w:tcPr>
          <w:p w14:paraId="6BE593B0" w14:textId="507FA0B0" w:rsidR="00785B7E" w:rsidRPr="00BC6B4E" w:rsidRDefault="00E96EE0" w:rsidP="00D816DF">
            <w:pPr>
              <w:spacing w:line="240" w:lineRule="auto"/>
              <w:rPr>
                <w:rFonts w:eastAsia="Times New Roman" w:cs="Times New Roman"/>
                <w:sz w:val="20"/>
                <w:szCs w:val="20"/>
              </w:rPr>
            </w:pPr>
            <w:r w:rsidRPr="00E96EE0">
              <w:rPr>
                <w:rFonts w:eastAsia="Times New Roman" w:cs="Times New Roman"/>
                <w:sz w:val="20"/>
                <w:szCs w:val="20"/>
              </w:rPr>
              <w:t>0.012962</w:t>
            </w:r>
            <w:r>
              <w:rPr>
                <w:rFonts w:eastAsia="Times New Roman" w:cs="Times New Roman"/>
                <w:sz w:val="20"/>
                <w:szCs w:val="20"/>
              </w:rPr>
              <w:t>(</w:t>
            </w:r>
            <w:r w:rsidRPr="00E96EE0">
              <w:rPr>
                <w:rFonts w:eastAsia="Times New Roman" w:cs="Times New Roman"/>
                <w:sz w:val="20"/>
                <w:szCs w:val="20"/>
              </w:rPr>
              <w:t>0.00327835</w:t>
            </w:r>
            <w:r>
              <w:rPr>
                <w:rFonts w:eastAsia="Times New Roman" w:cs="Times New Roman"/>
                <w:sz w:val="20"/>
                <w:szCs w:val="20"/>
              </w:rPr>
              <w:t>)</w:t>
            </w:r>
          </w:p>
        </w:tc>
        <w:tc>
          <w:tcPr>
            <w:tcW w:w="2250" w:type="dxa"/>
            <w:shd w:val="clear" w:color="auto" w:fill="auto"/>
            <w:noWrap/>
            <w:vAlign w:val="center"/>
          </w:tcPr>
          <w:p w14:paraId="615FC2F1" w14:textId="489D03DC" w:rsidR="00785B7E" w:rsidRPr="00BC6B4E" w:rsidRDefault="00E96EE0" w:rsidP="00D816DF">
            <w:pPr>
              <w:spacing w:line="240" w:lineRule="auto"/>
              <w:rPr>
                <w:rFonts w:eastAsia="Times New Roman" w:cs="Times New Roman"/>
                <w:sz w:val="20"/>
                <w:szCs w:val="20"/>
              </w:rPr>
            </w:pPr>
            <w:r w:rsidRPr="00E96EE0">
              <w:rPr>
                <w:rFonts w:eastAsia="Times New Roman" w:cs="Times New Roman"/>
                <w:sz w:val="20"/>
                <w:szCs w:val="20"/>
              </w:rPr>
              <w:t>0.012425</w:t>
            </w:r>
            <w:r>
              <w:rPr>
                <w:rFonts w:eastAsia="Times New Roman" w:cs="Times New Roman"/>
                <w:sz w:val="20"/>
                <w:szCs w:val="20"/>
              </w:rPr>
              <w:t>(</w:t>
            </w:r>
            <w:r w:rsidRPr="00E96EE0">
              <w:rPr>
                <w:rFonts w:eastAsia="Times New Roman" w:cs="Times New Roman"/>
                <w:sz w:val="20"/>
                <w:szCs w:val="20"/>
              </w:rPr>
              <w:t>0.011188</w:t>
            </w:r>
            <w:r>
              <w:rPr>
                <w:rFonts w:eastAsia="Times New Roman" w:cs="Times New Roman"/>
                <w:sz w:val="20"/>
                <w:szCs w:val="20"/>
              </w:rPr>
              <w:t>-</w:t>
            </w:r>
            <w:r>
              <w:t xml:space="preserve"> </w:t>
            </w:r>
            <w:r w:rsidRPr="00E96EE0">
              <w:rPr>
                <w:rFonts w:eastAsia="Times New Roman" w:cs="Times New Roman"/>
                <w:sz w:val="20"/>
                <w:szCs w:val="20"/>
              </w:rPr>
              <w:t>0.014041</w:t>
            </w:r>
            <w:r>
              <w:rPr>
                <w:rFonts w:eastAsia="Times New Roman" w:cs="Times New Roman"/>
                <w:sz w:val="20"/>
                <w:szCs w:val="20"/>
              </w:rPr>
              <w:t>)</w:t>
            </w:r>
          </w:p>
        </w:tc>
        <w:tc>
          <w:tcPr>
            <w:tcW w:w="2250" w:type="dxa"/>
            <w:shd w:val="clear" w:color="auto" w:fill="auto"/>
            <w:noWrap/>
            <w:vAlign w:val="center"/>
          </w:tcPr>
          <w:p w14:paraId="31C68911" w14:textId="7B53F2CC" w:rsidR="00785B7E" w:rsidRPr="00BC6B4E" w:rsidRDefault="00E96EE0" w:rsidP="00D816DF">
            <w:pPr>
              <w:spacing w:line="240" w:lineRule="auto"/>
              <w:rPr>
                <w:rFonts w:eastAsia="Times New Roman" w:cs="Times New Roman"/>
                <w:sz w:val="20"/>
                <w:szCs w:val="20"/>
              </w:rPr>
            </w:pPr>
            <w:r w:rsidRPr="00E96EE0">
              <w:rPr>
                <w:rFonts w:eastAsia="Times New Roman" w:cs="Times New Roman"/>
                <w:sz w:val="20"/>
                <w:szCs w:val="20"/>
              </w:rPr>
              <w:t>0.009008</w:t>
            </w:r>
            <w:r>
              <w:rPr>
                <w:rFonts w:eastAsia="Times New Roman" w:cs="Times New Roman"/>
                <w:sz w:val="20"/>
                <w:szCs w:val="20"/>
              </w:rPr>
              <w:t>(AL)-</w:t>
            </w:r>
            <w:r>
              <w:t xml:space="preserve"> </w:t>
            </w:r>
            <w:r w:rsidRPr="00E96EE0">
              <w:rPr>
                <w:rFonts w:eastAsia="Times New Roman" w:cs="Times New Roman"/>
                <w:sz w:val="20"/>
                <w:szCs w:val="20"/>
              </w:rPr>
              <w:t>0.028403</w:t>
            </w:r>
            <w:r>
              <w:rPr>
                <w:rFonts w:eastAsia="Times New Roman" w:cs="Times New Roman"/>
                <w:sz w:val="20"/>
                <w:szCs w:val="20"/>
              </w:rPr>
              <w:t>(DC)</w:t>
            </w:r>
          </w:p>
        </w:tc>
      </w:tr>
      <w:tr w:rsidR="00185C40" w:rsidRPr="00E94A8F" w14:paraId="098ECA50" w14:textId="77777777" w:rsidTr="00185C40">
        <w:trPr>
          <w:trHeight w:val="301"/>
        </w:trPr>
        <w:tc>
          <w:tcPr>
            <w:tcW w:w="1142" w:type="dxa"/>
            <w:vMerge/>
            <w:shd w:val="clear" w:color="auto" w:fill="auto"/>
            <w:noWrap/>
            <w:vAlign w:val="center"/>
          </w:tcPr>
          <w:p w14:paraId="18E11DD7" w14:textId="77777777" w:rsidR="00785B7E" w:rsidRPr="00F85D5C" w:rsidRDefault="00785B7E" w:rsidP="00715498">
            <w:pPr>
              <w:spacing w:line="240" w:lineRule="auto"/>
              <w:jc w:val="center"/>
              <w:rPr>
                <w:rFonts w:eastAsia="Times New Roman" w:cs="Times New Roman"/>
                <w:b/>
                <w:sz w:val="20"/>
                <w:szCs w:val="20"/>
              </w:rPr>
            </w:pPr>
          </w:p>
        </w:tc>
        <w:tc>
          <w:tcPr>
            <w:tcW w:w="2700" w:type="dxa"/>
            <w:shd w:val="clear" w:color="auto" w:fill="auto"/>
            <w:noWrap/>
            <w:vAlign w:val="center"/>
            <w:hideMark/>
          </w:tcPr>
          <w:p w14:paraId="0F4292A1" w14:textId="77777777" w:rsidR="00785B7E" w:rsidRPr="00BC6B4E" w:rsidRDefault="00785B7E" w:rsidP="00D816DF">
            <w:pPr>
              <w:spacing w:line="240" w:lineRule="auto"/>
              <w:rPr>
                <w:rFonts w:eastAsia="Times New Roman" w:cs="Times New Roman"/>
                <w:sz w:val="20"/>
                <w:szCs w:val="20"/>
              </w:rPr>
            </w:pPr>
            <w:r>
              <w:rPr>
                <w:rFonts w:eastAsia="Times New Roman" w:cs="Times New Roman"/>
                <w:sz w:val="20"/>
                <w:szCs w:val="20"/>
              </w:rPr>
              <w:t>Telehealth services per provider</w:t>
            </w:r>
          </w:p>
        </w:tc>
        <w:tc>
          <w:tcPr>
            <w:tcW w:w="2160" w:type="dxa"/>
            <w:shd w:val="clear" w:color="auto" w:fill="auto"/>
            <w:noWrap/>
            <w:vAlign w:val="center"/>
          </w:tcPr>
          <w:p w14:paraId="07FFF5F2" w14:textId="2F22FD36" w:rsidR="00785B7E" w:rsidRPr="00BC6B4E" w:rsidRDefault="00E96EE0" w:rsidP="00D816DF">
            <w:pPr>
              <w:spacing w:line="240" w:lineRule="auto"/>
              <w:rPr>
                <w:rFonts w:eastAsia="Times New Roman" w:cs="Times New Roman"/>
                <w:sz w:val="20"/>
                <w:szCs w:val="20"/>
              </w:rPr>
            </w:pPr>
            <w:r w:rsidRPr="00E96EE0">
              <w:rPr>
                <w:rFonts w:eastAsia="Times New Roman" w:cs="Times New Roman"/>
                <w:sz w:val="20"/>
                <w:szCs w:val="20"/>
              </w:rPr>
              <w:t>534.7</w:t>
            </w:r>
            <w:r>
              <w:rPr>
                <w:rFonts w:eastAsia="Times New Roman" w:cs="Times New Roman"/>
                <w:sz w:val="20"/>
                <w:szCs w:val="20"/>
              </w:rPr>
              <w:t>(</w:t>
            </w:r>
            <w:r w:rsidRPr="00E96EE0">
              <w:rPr>
                <w:rFonts w:eastAsia="Times New Roman" w:cs="Times New Roman"/>
                <w:sz w:val="20"/>
                <w:szCs w:val="20"/>
              </w:rPr>
              <w:t>146.3568</w:t>
            </w:r>
            <w:r>
              <w:rPr>
                <w:rFonts w:eastAsia="Times New Roman" w:cs="Times New Roman"/>
                <w:sz w:val="20"/>
                <w:szCs w:val="20"/>
              </w:rPr>
              <w:t>)</w:t>
            </w:r>
          </w:p>
        </w:tc>
        <w:tc>
          <w:tcPr>
            <w:tcW w:w="2250" w:type="dxa"/>
            <w:shd w:val="clear" w:color="auto" w:fill="auto"/>
            <w:noWrap/>
            <w:vAlign w:val="center"/>
          </w:tcPr>
          <w:p w14:paraId="018AF506" w14:textId="405A9F8C" w:rsidR="00785B7E" w:rsidRPr="00BC6B4E" w:rsidRDefault="00E96EE0" w:rsidP="00D816DF">
            <w:pPr>
              <w:spacing w:line="240" w:lineRule="auto"/>
              <w:rPr>
                <w:rFonts w:eastAsia="Times New Roman" w:cs="Times New Roman"/>
                <w:sz w:val="20"/>
                <w:szCs w:val="20"/>
              </w:rPr>
            </w:pPr>
            <w:r w:rsidRPr="00E96EE0">
              <w:rPr>
                <w:rFonts w:eastAsia="Times New Roman" w:cs="Times New Roman"/>
                <w:sz w:val="20"/>
                <w:szCs w:val="20"/>
              </w:rPr>
              <w:t>531.3</w:t>
            </w:r>
            <w:r>
              <w:rPr>
                <w:rFonts w:eastAsia="Times New Roman" w:cs="Times New Roman"/>
                <w:sz w:val="20"/>
                <w:szCs w:val="20"/>
              </w:rPr>
              <w:t>(</w:t>
            </w:r>
            <w:r w:rsidRPr="00E96EE0">
              <w:rPr>
                <w:rFonts w:eastAsia="Times New Roman" w:cs="Times New Roman"/>
                <w:sz w:val="20"/>
                <w:szCs w:val="20"/>
              </w:rPr>
              <w:t>407.5</w:t>
            </w:r>
            <w:r>
              <w:rPr>
                <w:rFonts w:eastAsia="Times New Roman" w:cs="Times New Roman"/>
                <w:sz w:val="20"/>
                <w:szCs w:val="20"/>
              </w:rPr>
              <w:t>-</w:t>
            </w:r>
            <w:r>
              <w:t xml:space="preserve"> </w:t>
            </w:r>
            <w:r w:rsidRPr="00E96EE0">
              <w:rPr>
                <w:rFonts w:eastAsia="Times New Roman" w:cs="Times New Roman"/>
                <w:sz w:val="20"/>
                <w:szCs w:val="20"/>
              </w:rPr>
              <w:t>638.2</w:t>
            </w:r>
            <w:r>
              <w:rPr>
                <w:rFonts w:eastAsia="Times New Roman" w:cs="Times New Roman"/>
                <w:sz w:val="20"/>
                <w:szCs w:val="20"/>
              </w:rPr>
              <w:t>)</w:t>
            </w:r>
          </w:p>
        </w:tc>
        <w:tc>
          <w:tcPr>
            <w:tcW w:w="2250" w:type="dxa"/>
            <w:shd w:val="clear" w:color="auto" w:fill="auto"/>
            <w:noWrap/>
            <w:vAlign w:val="center"/>
          </w:tcPr>
          <w:p w14:paraId="4AE68BD2" w14:textId="3730CC87" w:rsidR="00785B7E" w:rsidRPr="00BC6B4E" w:rsidRDefault="00E96EE0" w:rsidP="00D816DF">
            <w:pPr>
              <w:spacing w:line="240" w:lineRule="auto"/>
              <w:rPr>
                <w:rFonts w:eastAsia="Times New Roman" w:cs="Times New Roman"/>
                <w:sz w:val="20"/>
                <w:szCs w:val="20"/>
              </w:rPr>
            </w:pPr>
            <w:r w:rsidRPr="00E96EE0">
              <w:rPr>
                <w:rFonts w:eastAsia="Times New Roman" w:cs="Times New Roman"/>
                <w:sz w:val="20"/>
                <w:szCs w:val="20"/>
              </w:rPr>
              <w:t>208.5</w:t>
            </w:r>
            <w:r>
              <w:rPr>
                <w:rFonts w:eastAsia="Times New Roman" w:cs="Times New Roman"/>
                <w:sz w:val="20"/>
                <w:szCs w:val="20"/>
              </w:rPr>
              <w:t>(MN)-</w:t>
            </w:r>
            <w:r>
              <w:t xml:space="preserve"> </w:t>
            </w:r>
            <w:r w:rsidRPr="00E96EE0">
              <w:rPr>
                <w:rFonts w:eastAsia="Times New Roman" w:cs="Times New Roman"/>
                <w:sz w:val="20"/>
                <w:szCs w:val="20"/>
              </w:rPr>
              <w:t>815.8</w:t>
            </w:r>
            <w:r>
              <w:rPr>
                <w:rFonts w:eastAsia="Times New Roman" w:cs="Times New Roman"/>
                <w:sz w:val="20"/>
                <w:szCs w:val="20"/>
              </w:rPr>
              <w:t>(MS)</w:t>
            </w:r>
          </w:p>
        </w:tc>
      </w:tr>
      <w:tr w:rsidR="00185C40" w:rsidRPr="00E94A8F" w14:paraId="75B86414" w14:textId="77777777" w:rsidTr="00185C40">
        <w:trPr>
          <w:trHeight w:val="301"/>
        </w:trPr>
        <w:tc>
          <w:tcPr>
            <w:tcW w:w="1142" w:type="dxa"/>
            <w:vMerge w:val="restart"/>
            <w:shd w:val="clear" w:color="auto" w:fill="auto"/>
            <w:noWrap/>
            <w:vAlign w:val="center"/>
          </w:tcPr>
          <w:p w14:paraId="45F427E5" w14:textId="77777777" w:rsidR="00715498" w:rsidRPr="00F85D5C" w:rsidRDefault="00177227" w:rsidP="00715498">
            <w:pPr>
              <w:spacing w:line="240" w:lineRule="auto"/>
              <w:jc w:val="center"/>
              <w:rPr>
                <w:rFonts w:eastAsia="Times New Roman" w:cs="Times New Roman"/>
                <w:b/>
                <w:sz w:val="20"/>
                <w:szCs w:val="20"/>
              </w:rPr>
            </w:pPr>
            <w:r w:rsidRPr="00F85D5C">
              <w:rPr>
                <w:rFonts w:eastAsia="Times New Roman" w:cs="Times New Roman"/>
                <w:b/>
                <w:sz w:val="20"/>
                <w:szCs w:val="20"/>
              </w:rPr>
              <w:t xml:space="preserve">Changes </w:t>
            </w:r>
          </w:p>
          <w:p w14:paraId="42AB44F2" w14:textId="77777777" w:rsidR="00715498" w:rsidRPr="00F85D5C" w:rsidRDefault="00177227" w:rsidP="00715498">
            <w:pPr>
              <w:spacing w:line="240" w:lineRule="auto"/>
              <w:jc w:val="center"/>
              <w:rPr>
                <w:rFonts w:eastAsia="Times New Roman" w:cs="Times New Roman"/>
                <w:b/>
                <w:sz w:val="20"/>
                <w:szCs w:val="20"/>
              </w:rPr>
            </w:pPr>
            <w:r w:rsidRPr="00F85D5C">
              <w:rPr>
                <w:rFonts w:eastAsia="Times New Roman" w:cs="Times New Roman"/>
                <w:b/>
                <w:sz w:val="20"/>
                <w:szCs w:val="20"/>
              </w:rPr>
              <w:t>b</w:t>
            </w:r>
            <w:r w:rsidR="00715498" w:rsidRPr="00F85D5C">
              <w:rPr>
                <w:rFonts w:eastAsia="Times New Roman" w:cs="Times New Roman"/>
                <w:b/>
                <w:sz w:val="20"/>
                <w:szCs w:val="20"/>
              </w:rPr>
              <w:t>etween</w:t>
            </w:r>
          </w:p>
          <w:p w14:paraId="3F80E011" w14:textId="77777777" w:rsidR="00715498" w:rsidRPr="00F85D5C" w:rsidRDefault="00715498" w:rsidP="00715498">
            <w:pPr>
              <w:spacing w:line="240" w:lineRule="auto"/>
              <w:jc w:val="center"/>
              <w:rPr>
                <w:rFonts w:eastAsia="Times New Roman" w:cs="Times New Roman"/>
                <w:b/>
                <w:sz w:val="20"/>
                <w:szCs w:val="20"/>
              </w:rPr>
            </w:pPr>
            <w:r w:rsidRPr="00F85D5C">
              <w:rPr>
                <w:rFonts w:eastAsia="Times New Roman" w:cs="Times New Roman"/>
                <w:b/>
                <w:sz w:val="20"/>
                <w:szCs w:val="20"/>
              </w:rPr>
              <w:t>2016</w:t>
            </w:r>
          </w:p>
          <w:p w14:paraId="4E20B215" w14:textId="77777777" w:rsidR="00715498" w:rsidRPr="00F85D5C" w:rsidRDefault="00715498" w:rsidP="00715498">
            <w:pPr>
              <w:spacing w:line="240" w:lineRule="auto"/>
              <w:jc w:val="center"/>
              <w:rPr>
                <w:rFonts w:eastAsia="Times New Roman" w:cs="Times New Roman"/>
                <w:b/>
                <w:sz w:val="20"/>
                <w:szCs w:val="20"/>
              </w:rPr>
            </w:pPr>
            <w:r w:rsidRPr="00F85D5C">
              <w:rPr>
                <w:rFonts w:eastAsia="Times New Roman" w:cs="Times New Roman"/>
                <w:b/>
                <w:sz w:val="20"/>
                <w:szCs w:val="20"/>
              </w:rPr>
              <w:t>and</w:t>
            </w:r>
          </w:p>
          <w:p w14:paraId="575CBB86" w14:textId="77777777" w:rsidR="00715498" w:rsidRPr="00F85D5C" w:rsidRDefault="00715498" w:rsidP="00715498">
            <w:pPr>
              <w:spacing w:line="240" w:lineRule="auto"/>
              <w:jc w:val="center"/>
              <w:rPr>
                <w:rFonts w:eastAsia="Times New Roman" w:cs="Times New Roman"/>
                <w:b/>
                <w:sz w:val="20"/>
                <w:szCs w:val="20"/>
              </w:rPr>
            </w:pPr>
            <w:r w:rsidRPr="00F85D5C">
              <w:rPr>
                <w:rFonts w:eastAsia="Times New Roman" w:cs="Times New Roman"/>
                <w:b/>
                <w:sz w:val="20"/>
                <w:szCs w:val="20"/>
              </w:rPr>
              <w:t>2017</w:t>
            </w:r>
          </w:p>
          <w:p w14:paraId="1B92F31A" w14:textId="77777777" w:rsidR="00715498" w:rsidRPr="00F85D5C" w:rsidRDefault="00715498" w:rsidP="00715498">
            <w:pPr>
              <w:spacing w:line="240" w:lineRule="auto"/>
              <w:jc w:val="center"/>
              <w:rPr>
                <w:rFonts w:eastAsia="Times New Roman" w:cs="Times New Roman"/>
                <w:b/>
                <w:sz w:val="20"/>
                <w:szCs w:val="20"/>
              </w:rPr>
            </w:pPr>
          </w:p>
        </w:tc>
        <w:tc>
          <w:tcPr>
            <w:tcW w:w="2700" w:type="dxa"/>
            <w:shd w:val="clear" w:color="auto" w:fill="auto"/>
            <w:noWrap/>
            <w:vAlign w:val="center"/>
          </w:tcPr>
          <w:p w14:paraId="6F84E3BD" w14:textId="77777777" w:rsidR="00715498" w:rsidRPr="00BC6B4E" w:rsidRDefault="00715498" w:rsidP="00D816DF">
            <w:pPr>
              <w:spacing w:line="240" w:lineRule="auto"/>
              <w:rPr>
                <w:rFonts w:eastAsia="Times New Roman" w:cs="Times New Roman"/>
                <w:sz w:val="20"/>
                <w:szCs w:val="20"/>
              </w:rPr>
            </w:pPr>
            <w:r>
              <w:rPr>
                <w:rFonts w:eastAsia="Times New Roman" w:cs="Times New Roman"/>
                <w:sz w:val="20"/>
                <w:szCs w:val="20"/>
              </w:rPr>
              <w:t>Telehealth services per state</w:t>
            </w:r>
          </w:p>
        </w:tc>
        <w:tc>
          <w:tcPr>
            <w:tcW w:w="2160" w:type="dxa"/>
            <w:shd w:val="clear" w:color="auto" w:fill="auto"/>
            <w:noWrap/>
            <w:vAlign w:val="center"/>
          </w:tcPr>
          <w:p w14:paraId="5821CBCF" w14:textId="086AEF43" w:rsidR="00715498" w:rsidRPr="00BC6B4E" w:rsidRDefault="003B57EA" w:rsidP="00D816DF">
            <w:pPr>
              <w:spacing w:line="240" w:lineRule="auto"/>
              <w:rPr>
                <w:rFonts w:eastAsia="Times New Roman" w:cs="Times New Roman"/>
                <w:sz w:val="20"/>
                <w:szCs w:val="20"/>
              </w:rPr>
            </w:pPr>
            <w:r w:rsidRPr="003B57EA">
              <w:rPr>
                <w:rFonts w:eastAsia="Times New Roman" w:cs="Times New Roman"/>
                <w:sz w:val="20"/>
                <w:szCs w:val="20"/>
              </w:rPr>
              <w:t>25</w:t>
            </w:r>
            <w:r>
              <w:rPr>
                <w:rFonts w:eastAsia="Times New Roman" w:cs="Times New Roman"/>
                <w:sz w:val="20"/>
                <w:szCs w:val="20"/>
              </w:rPr>
              <w:t>,</w:t>
            </w:r>
            <w:r w:rsidRPr="003B57EA">
              <w:rPr>
                <w:rFonts w:eastAsia="Times New Roman" w:cs="Times New Roman"/>
                <w:sz w:val="20"/>
                <w:szCs w:val="20"/>
              </w:rPr>
              <w:t>232</w:t>
            </w:r>
            <w:r>
              <w:rPr>
                <w:rFonts w:eastAsia="Times New Roman" w:cs="Times New Roman"/>
                <w:sz w:val="20"/>
                <w:szCs w:val="20"/>
              </w:rPr>
              <w:t>(</w:t>
            </w:r>
            <w:r w:rsidRPr="003B57EA">
              <w:rPr>
                <w:rFonts w:eastAsia="Times New Roman" w:cs="Times New Roman"/>
                <w:sz w:val="20"/>
                <w:szCs w:val="20"/>
              </w:rPr>
              <w:t>208</w:t>
            </w:r>
            <w:r>
              <w:rPr>
                <w:rFonts w:eastAsia="Times New Roman" w:cs="Times New Roman"/>
                <w:sz w:val="20"/>
                <w:szCs w:val="20"/>
              </w:rPr>
              <w:t>,</w:t>
            </w:r>
            <w:r w:rsidRPr="003B57EA">
              <w:rPr>
                <w:rFonts w:eastAsia="Times New Roman" w:cs="Times New Roman"/>
                <w:sz w:val="20"/>
                <w:szCs w:val="20"/>
              </w:rPr>
              <w:t>384</w:t>
            </w:r>
            <w:r>
              <w:rPr>
                <w:rFonts w:eastAsia="Times New Roman" w:cs="Times New Roman"/>
                <w:sz w:val="20"/>
                <w:szCs w:val="20"/>
              </w:rPr>
              <w:t>)</w:t>
            </w:r>
          </w:p>
        </w:tc>
        <w:tc>
          <w:tcPr>
            <w:tcW w:w="2250" w:type="dxa"/>
            <w:shd w:val="clear" w:color="auto" w:fill="auto"/>
            <w:noWrap/>
            <w:vAlign w:val="center"/>
          </w:tcPr>
          <w:p w14:paraId="2394B1AC" w14:textId="2EA06546" w:rsidR="00715498" w:rsidRPr="00BC6B4E" w:rsidRDefault="003B57EA" w:rsidP="00D816DF">
            <w:pPr>
              <w:spacing w:line="240" w:lineRule="auto"/>
              <w:rPr>
                <w:rFonts w:eastAsia="Times New Roman" w:cs="Times New Roman"/>
                <w:sz w:val="20"/>
                <w:szCs w:val="20"/>
              </w:rPr>
            </w:pPr>
            <w:r w:rsidRPr="003B57EA">
              <w:rPr>
                <w:rFonts w:eastAsia="Times New Roman" w:cs="Times New Roman"/>
                <w:sz w:val="20"/>
                <w:szCs w:val="20"/>
              </w:rPr>
              <w:t>28</w:t>
            </w:r>
            <w:r>
              <w:rPr>
                <w:rFonts w:eastAsia="Times New Roman" w:cs="Times New Roman"/>
                <w:sz w:val="20"/>
                <w:szCs w:val="20"/>
              </w:rPr>
              <w:t>,</w:t>
            </w:r>
            <w:r w:rsidRPr="003B57EA">
              <w:rPr>
                <w:rFonts w:eastAsia="Times New Roman" w:cs="Times New Roman"/>
                <w:sz w:val="20"/>
                <w:szCs w:val="20"/>
              </w:rPr>
              <w:t>556</w:t>
            </w:r>
            <w:r>
              <w:rPr>
                <w:rFonts w:eastAsia="Times New Roman" w:cs="Times New Roman"/>
                <w:sz w:val="20"/>
                <w:szCs w:val="20"/>
              </w:rPr>
              <w:t>(</w:t>
            </w:r>
            <w:r w:rsidRPr="003B57EA">
              <w:rPr>
                <w:rFonts w:eastAsia="Times New Roman" w:cs="Times New Roman"/>
                <w:sz w:val="20"/>
                <w:szCs w:val="20"/>
              </w:rPr>
              <w:t>-236</w:t>
            </w:r>
            <w:r>
              <w:rPr>
                <w:rFonts w:eastAsia="Times New Roman" w:cs="Times New Roman"/>
                <w:sz w:val="20"/>
                <w:szCs w:val="20"/>
              </w:rPr>
              <w:t>-</w:t>
            </w:r>
            <w:r>
              <w:t xml:space="preserve"> </w:t>
            </w:r>
            <w:r w:rsidRPr="003B57EA">
              <w:rPr>
                <w:rFonts w:eastAsia="Times New Roman" w:cs="Times New Roman"/>
                <w:sz w:val="20"/>
                <w:szCs w:val="20"/>
              </w:rPr>
              <w:t>109</w:t>
            </w:r>
            <w:r>
              <w:rPr>
                <w:rFonts w:eastAsia="Times New Roman" w:cs="Times New Roman"/>
                <w:sz w:val="20"/>
                <w:szCs w:val="20"/>
              </w:rPr>
              <w:t>,</w:t>
            </w:r>
            <w:r w:rsidRPr="003B57EA">
              <w:rPr>
                <w:rFonts w:eastAsia="Times New Roman" w:cs="Times New Roman"/>
                <w:sz w:val="20"/>
                <w:szCs w:val="20"/>
              </w:rPr>
              <w:t>681</w:t>
            </w:r>
            <w:r>
              <w:rPr>
                <w:rFonts w:eastAsia="Times New Roman" w:cs="Times New Roman"/>
                <w:sz w:val="20"/>
                <w:szCs w:val="20"/>
              </w:rPr>
              <w:t>)</w:t>
            </w:r>
          </w:p>
        </w:tc>
        <w:tc>
          <w:tcPr>
            <w:tcW w:w="2250" w:type="dxa"/>
            <w:shd w:val="clear" w:color="auto" w:fill="auto"/>
            <w:noWrap/>
            <w:vAlign w:val="center"/>
          </w:tcPr>
          <w:p w14:paraId="1A70D56D" w14:textId="662182B6" w:rsidR="00715498" w:rsidRPr="00BC6B4E" w:rsidRDefault="003B57EA" w:rsidP="00D816DF">
            <w:pPr>
              <w:spacing w:line="240" w:lineRule="auto"/>
              <w:rPr>
                <w:rFonts w:eastAsia="Times New Roman" w:cs="Times New Roman"/>
                <w:sz w:val="20"/>
                <w:szCs w:val="20"/>
              </w:rPr>
            </w:pPr>
            <w:r w:rsidRPr="003B57EA">
              <w:rPr>
                <w:rFonts w:eastAsia="Times New Roman" w:cs="Times New Roman"/>
                <w:sz w:val="20"/>
                <w:szCs w:val="20"/>
              </w:rPr>
              <w:t>-846</w:t>
            </w:r>
            <w:r>
              <w:rPr>
                <w:rFonts w:eastAsia="Times New Roman" w:cs="Times New Roman"/>
                <w:sz w:val="20"/>
                <w:szCs w:val="20"/>
              </w:rPr>
              <w:t>,</w:t>
            </w:r>
            <w:r w:rsidRPr="003B57EA">
              <w:rPr>
                <w:rFonts w:eastAsia="Times New Roman" w:cs="Times New Roman"/>
                <w:sz w:val="20"/>
                <w:szCs w:val="20"/>
              </w:rPr>
              <w:t>136</w:t>
            </w:r>
            <w:r>
              <w:rPr>
                <w:rFonts w:eastAsia="Times New Roman" w:cs="Times New Roman"/>
                <w:sz w:val="20"/>
                <w:szCs w:val="20"/>
              </w:rPr>
              <w:t>-</w:t>
            </w:r>
            <w:r w:rsidRPr="003B57EA">
              <w:rPr>
                <w:rFonts w:eastAsia="Times New Roman" w:cs="Times New Roman"/>
                <w:sz w:val="20"/>
                <w:szCs w:val="20"/>
              </w:rPr>
              <w:t>525</w:t>
            </w:r>
            <w:r>
              <w:rPr>
                <w:rFonts w:eastAsia="Times New Roman" w:cs="Times New Roman"/>
                <w:sz w:val="20"/>
                <w:szCs w:val="20"/>
              </w:rPr>
              <w:t>,</w:t>
            </w:r>
            <w:r w:rsidRPr="003B57EA">
              <w:rPr>
                <w:rFonts w:eastAsia="Times New Roman" w:cs="Times New Roman"/>
                <w:sz w:val="20"/>
                <w:szCs w:val="20"/>
              </w:rPr>
              <w:t>233</w:t>
            </w:r>
          </w:p>
        </w:tc>
      </w:tr>
      <w:tr w:rsidR="00185C40" w:rsidRPr="00E94A8F" w14:paraId="34392A23" w14:textId="77777777" w:rsidTr="00185C40">
        <w:trPr>
          <w:trHeight w:val="301"/>
        </w:trPr>
        <w:tc>
          <w:tcPr>
            <w:tcW w:w="1142" w:type="dxa"/>
            <w:vMerge/>
            <w:shd w:val="clear" w:color="auto" w:fill="auto"/>
            <w:noWrap/>
            <w:vAlign w:val="center"/>
          </w:tcPr>
          <w:p w14:paraId="3DE436EC" w14:textId="77777777" w:rsidR="00715498" w:rsidRPr="00BC6B4E" w:rsidRDefault="00715498" w:rsidP="00715498">
            <w:pPr>
              <w:spacing w:line="240" w:lineRule="auto"/>
              <w:jc w:val="center"/>
              <w:rPr>
                <w:rFonts w:eastAsia="Times New Roman" w:cs="Times New Roman"/>
                <w:sz w:val="20"/>
                <w:szCs w:val="20"/>
              </w:rPr>
            </w:pPr>
          </w:p>
        </w:tc>
        <w:tc>
          <w:tcPr>
            <w:tcW w:w="2700" w:type="dxa"/>
            <w:shd w:val="clear" w:color="auto" w:fill="auto"/>
            <w:noWrap/>
            <w:vAlign w:val="center"/>
          </w:tcPr>
          <w:p w14:paraId="771BC5B0" w14:textId="77777777" w:rsidR="00715498" w:rsidRDefault="00715498" w:rsidP="00D816DF">
            <w:pPr>
              <w:spacing w:line="240" w:lineRule="auto"/>
              <w:rPr>
                <w:rFonts w:eastAsia="Times New Roman" w:cs="Times New Roman"/>
                <w:sz w:val="20"/>
                <w:szCs w:val="20"/>
              </w:rPr>
            </w:pPr>
            <w:r>
              <w:rPr>
                <w:rFonts w:eastAsia="Times New Roman" w:cs="Times New Roman"/>
                <w:sz w:val="20"/>
                <w:szCs w:val="20"/>
              </w:rPr>
              <w:t>Medicare FFS beneficiaries per state</w:t>
            </w:r>
          </w:p>
        </w:tc>
        <w:tc>
          <w:tcPr>
            <w:tcW w:w="2160" w:type="dxa"/>
            <w:shd w:val="clear" w:color="auto" w:fill="auto"/>
            <w:noWrap/>
            <w:vAlign w:val="center"/>
          </w:tcPr>
          <w:p w14:paraId="7F7BD57D" w14:textId="74E9C218" w:rsidR="00715498" w:rsidRPr="00BC6B4E" w:rsidRDefault="002C69FF" w:rsidP="00D816DF">
            <w:pPr>
              <w:spacing w:line="240" w:lineRule="auto"/>
              <w:rPr>
                <w:rFonts w:eastAsia="Times New Roman" w:cs="Times New Roman"/>
                <w:sz w:val="20"/>
                <w:szCs w:val="20"/>
              </w:rPr>
            </w:pPr>
            <w:r w:rsidRPr="002C69FF">
              <w:rPr>
                <w:rFonts w:eastAsia="Times New Roman" w:cs="Times New Roman"/>
                <w:sz w:val="20"/>
                <w:szCs w:val="20"/>
              </w:rPr>
              <w:t>26</w:t>
            </w:r>
            <w:r>
              <w:rPr>
                <w:rFonts w:eastAsia="Times New Roman" w:cs="Times New Roman"/>
                <w:sz w:val="20"/>
                <w:szCs w:val="20"/>
              </w:rPr>
              <w:t>,</w:t>
            </w:r>
            <w:r w:rsidRPr="002C69FF">
              <w:rPr>
                <w:rFonts w:eastAsia="Times New Roman" w:cs="Times New Roman"/>
                <w:sz w:val="20"/>
                <w:szCs w:val="20"/>
              </w:rPr>
              <w:t>108</w:t>
            </w:r>
            <w:r>
              <w:rPr>
                <w:rFonts w:eastAsia="Times New Roman" w:cs="Times New Roman"/>
                <w:sz w:val="20"/>
                <w:szCs w:val="20"/>
              </w:rPr>
              <w:t>(</w:t>
            </w:r>
            <w:r w:rsidRPr="002C69FF">
              <w:rPr>
                <w:rFonts w:eastAsia="Times New Roman" w:cs="Times New Roman"/>
                <w:sz w:val="20"/>
                <w:szCs w:val="20"/>
              </w:rPr>
              <w:t>28873.86</w:t>
            </w:r>
            <w:r>
              <w:rPr>
                <w:rFonts w:eastAsia="Times New Roman" w:cs="Times New Roman"/>
                <w:sz w:val="20"/>
                <w:szCs w:val="20"/>
              </w:rPr>
              <w:t>)</w:t>
            </w:r>
          </w:p>
        </w:tc>
        <w:tc>
          <w:tcPr>
            <w:tcW w:w="2250" w:type="dxa"/>
            <w:shd w:val="clear" w:color="auto" w:fill="auto"/>
            <w:noWrap/>
            <w:vAlign w:val="center"/>
          </w:tcPr>
          <w:p w14:paraId="4CBA139F" w14:textId="0F5EEC14" w:rsidR="00715498" w:rsidRPr="00BC6B4E" w:rsidRDefault="002C69FF" w:rsidP="00D816DF">
            <w:pPr>
              <w:spacing w:line="240" w:lineRule="auto"/>
              <w:rPr>
                <w:rFonts w:eastAsia="Times New Roman" w:cs="Times New Roman"/>
                <w:sz w:val="20"/>
                <w:szCs w:val="20"/>
              </w:rPr>
            </w:pPr>
            <w:r w:rsidRPr="002C69FF">
              <w:rPr>
                <w:rFonts w:eastAsia="Times New Roman" w:cs="Times New Roman"/>
                <w:sz w:val="20"/>
                <w:szCs w:val="20"/>
              </w:rPr>
              <w:t>17</w:t>
            </w:r>
            <w:r>
              <w:rPr>
                <w:rFonts w:eastAsia="Times New Roman" w:cs="Times New Roman"/>
                <w:sz w:val="20"/>
                <w:szCs w:val="20"/>
              </w:rPr>
              <w:t>,</w:t>
            </w:r>
            <w:r w:rsidRPr="002C69FF">
              <w:rPr>
                <w:rFonts w:eastAsia="Times New Roman" w:cs="Times New Roman"/>
                <w:sz w:val="20"/>
                <w:szCs w:val="20"/>
              </w:rPr>
              <w:t>644</w:t>
            </w:r>
            <w:r>
              <w:rPr>
                <w:rFonts w:eastAsia="Times New Roman" w:cs="Times New Roman"/>
                <w:sz w:val="20"/>
                <w:szCs w:val="20"/>
              </w:rPr>
              <w:t>(</w:t>
            </w:r>
            <w:r w:rsidRPr="002C69FF">
              <w:rPr>
                <w:rFonts w:eastAsia="Times New Roman" w:cs="Times New Roman"/>
                <w:sz w:val="20"/>
                <w:szCs w:val="20"/>
              </w:rPr>
              <w:t>7</w:t>
            </w:r>
            <w:r>
              <w:rPr>
                <w:rFonts w:eastAsia="Times New Roman" w:cs="Times New Roman"/>
                <w:sz w:val="20"/>
                <w:szCs w:val="20"/>
              </w:rPr>
              <w:t>,</w:t>
            </w:r>
            <w:r w:rsidRPr="002C69FF">
              <w:rPr>
                <w:rFonts w:eastAsia="Times New Roman" w:cs="Times New Roman"/>
                <w:sz w:val="20"/>
                <w:szCs w:val="20"/>
              </w:rPr>
              <w:t>810</w:t>
            </w:r>
            <w:r>
              <w:rPr>
                <w:rFonts w:eastAsia="Times New Roman" w:cs="Times New Roman"/>
                <w:sz w:val="20"/>
                <w:szCs w:val="20"/>
              </w:rPr>
              <w:t>-</w:t>
            </w:r>
            <w:r>
              <w:t xml:space="preserve"> </w:t>
            </w:r>
            <w:r w:rsidRPr="002C69FF">
              <w:rPr>
                <w:rFonts w:eastAsia="Times New Roman" w:cs="Times New Roman"/>
                <w:sz w:val="20"/>
                <w:szCs w:val="20"/>
              </w:rPr>
              <w:t>32</w:t>
            </w:r>
            <w:r>
              <w:rPr>
                <w:rFonts w:eastAsia="Times New Roman" w:cs="Times New Roman"/>
                <w:sz w:val="20"/>
                <w:szCs w:val="20"/>
              </w:rPr>
              <w:t>,</w:t>
            </w:r>
            <w:r w:rsidRPr="002C69FF">
              <w:rPr>
                <w:rFonts w:eastAsia="Times New Roman" w:cs="Times New Roman"/>
                <w:sz w:val="20"/>
                <w:szCs w:val="20"/>
              </w:rPr>
              <w:t>618</w:t>
            </w:r>
            <w:r>
              <w:rPr>
                <w:rFonts w:eastAsia="Times New Roman" w:cs="Times New Roman"/>
                <w:sz w:val="20"/>
                <w:szCs w:val="20"/>
              </w:rPr>
              <w:t>)</w:t>
            </w:r>
          </w:p>
        </w:tc>
        <w:tc>
          <w:tcPr>
            <w:tcW w:w="2250" w:type="dxa"/>
            <w:shd w:val="clear" w:color="auto" w:fill="auto"/>
            <w:noWrap/>
            <w:vAlign w:val="center"/>
          </w:tcPr>
          <w:p w14:paraId="198F944E" w14:textId="41CC26B9" w:rsidR="00715498" w:rsidRPr="00BC6B4E" w:rsidRDefault="002C69FF" w:rsidP="00D816DF">
            <w:pPr>
              <w:spacing w:line="240" w:lineRule="auto"/>
              <w:rPr>
                <w:rFonts w:eastAsia="Times New Roman" w:cs="Times New Roman"/>
                <w:sz w:val="20"/>
                <w:szCs w:val="20"/>
              </w:rPr>
            </w:pPr>
            <w:r w:rsidRPr="002C69FF">
              <w:rPr>
                <w:rFonts w:eastAsia="Times New Roman" w:cs="Times New Roman"/>
                <w:sz w:val="20"/>
                <w:szCs w:val="20"/>
              </w:rPr>
              <w:t>1</w:t>
            </w:r>
            <w:r>
              <w:rPr>
                <w:rFonts w:eastAsia="Times New Roman" w:cs="Times New Roman"/>
                <w:sz w:val="20"/>
                <w:szCs w:val="20"/>
              </w:rPr>
              <w:t>,</w:t>
            </w:r>
            <w:r w:rsidRPr="002C69FF">
              <w:rPr>
                <w:rFonts w:eastAsia="Times New Roman" w:cs="Times New Roman"/>
                <w:sz w:val="20"/>
                <w:szCs w:val="20"/>
              </w:rPr>
              <w:t>987</w:t>
            </w:r>
            <w:r>
              <w:rPr>
                <w:rFonts w:eastAsia="Times New Roman" w:cs="Times New Roman"/>
                <w:sz w:val="20"/>
                <w:szCs w:val="20"/>
              </w:rPr>
              <w:t>-</w:t>
            </w:r>
            <w:r w:rsidRPr="002C69FF">
              <w:rPr>
                <w:rFonts w:eastAsia="Times New Roman" w:cs="Times New Roman"/>
                <w:sz w:val="20"/>
                <w:szCs w:val="20"/>
              </w:rPr>
              <w:t>140</w:t>
            </w:r>
            <w:r>
              <w:rPr>
                <w:rFonts w:eastAsia="Times New Roman" w:cs="Times New Roman"/>
                <w:sz w:val="20"/>
                <w:szCs w:val="20"/>
              </w:rPr>
              <w:t>,</w:t>
            </w:r>
            <w:r w:rsidRPr="002C69FF">
              <w:rPr>
                <w:rFonts w:eastAsia="Times New Roman" w:cs="Times New Roman"/>
                <w:sz w:val="20"/>
                <w:szCs w:val="20"/>
              </w:rPr>
              <w:t>439</w:t>
            </w:r>
          </w:p>
        </w:tc>
      </w:tr>
      <w:tr w:rsidR="00185C40" w:rsidRPr="00E94A8F" w14:paraId="0C59F02A" w14:textId="77777777" w:rsidTr="00185C40">
        <w:trPr>
          <w:trHeight w:val="301"/>
        </w:trPr>
        <w:tc>
          <w:tcPr>
            <w:tcW w:w="1142" w:type="dxa"/>
            <w:vMerge/>
            <w:shd w:val="clear" w:color="auto" w:fill="auto"/>
            <w:noWrap/>
            <w:vAlign w:val="center"/>
          </w:tcPr>
          <w:p w14:paraId="1012443A" w14:textId="77777777" w:rsidR="00715498" w:rsidRPr="00BC6B4E" w:rsidRDefault="00715498" w:rsidP="00715498">
            <w:pPr>
              <w:spacing w:line="240" w:lineRule="auto"/>
              <w:jc w:val="center"/>
              <w:rPr>
                <w:rFonts w:eastAsia="Times New Roman" w:cs="Times New Roman"/>
                <w:sz w:val="20"/>
                <w:szCs w:val="20"/>
              </w:rPr>
            </w:pPr>
          </w:p>
        </w:tc>
        <w:tc>
          <w:tcPr>
            <w:tcW w:w="2700" w:type="dxa"/>
            <w:shd w:val="clear" w:color="auto" w:fill="auto"/>
            <w:noWrap/>
            <w:vAlign w:val="center"/>
          </w:tcPr>
          <w:p w14:paraId="27D031CC" w14:textId="77777777" w:rsidR="00715498" w:rsidRDefault="00715498" w:rsidP="00D816DF">
            <w:pPr>
              <w:spacing w:line="240" w:lineRule="auto"/>
              <w:rPr>
                <w:rFonts w:eastAsia="Times New Roman" w:cs="Times New Roman"/>
                <w:sz w:val="20"/>
                <w:szCs w:val="20"/>
              </w:rPr>
            </w:pPr>
            <w:r>
              <w:rPr>
                <w:rFonts w:eastAsia="Times New Roman" w:cs="Times New Roman"/>
                <w:sz w:val="20"/>
                <w:szCs w:val="20"/>
              </w:rPr>
              <w:t>Telehealth services per Medicare FFS beneficiaries</w:t>
            </w:r>
          </w:p>
        </w:tc>
        <w:tc>
          <w:tcPr>
            <w:tcW w:w="2160" w:type="dxa"/>
            <w:shd w:val="clear" w:color="auto" w:fill="auto"/>
            <w:noWrap/>
            <w:vAlign w:val="center"/>
          </w:tcPr>
          <w:p w14:paraId="791338F2" w14:textId="7A701271" w:rsidR="00715498" w:rsidRPr="00BC6B4E" w:rsidRDefault="006D57B5" w:rsidP="00D816DF">
            <w:pPr>
              <w:spacing w:line="240" w:lineRule="auto"/>
              <w:rPr>
                <w:rFonts w:eastAsia="Times New Roman" w:cs="Times New Roman"/>
                <w:sz w:val="20"/>
                <w:szCs w:val="20"/>
              </w:rPr>
            </w:pPr>
            <w:r>
              <w:rPr>
                <w:rFonts w:eastAsia="Times New Roman" w:cs="Times New Roman"/>
                <w:sz w:val="20"/>
                <w:szCs w:val="20"/>
              </w:rPr>
              <w:t>-</w:t>
            </w:r>
            <w:r w:rsidRPr="006D57B5">
              <w:rPr>
                <w:rFonts w:eastAsia="Times New Roman" w:cs="Times New Roman"/>
                <w:sz w:val="20"/>
                <w:szCs w:val="20"/>
              </w:rPr>
              <w:t>0.120968</w:t>
            </w:r>
            <w:r>
              <w:rPr>
                <w:rFonts w:eastAsia="Times New Roman" w:cs="Times New Roman"/>
                <w:sz w:val="20"/>
                <w:szCs w:val="20"/>
              </w:rPr>
              <w:t>(</w:t>
            </w:r>
            <w:r w:rsidRPr="006D57B5">
              <w:rPr>
                <w:rFonts w:eastAsia="Times New Roman" w:cs="Times New Roman"/>
                <w:sz w:val="20"/>
                <w:szCs w:val="20"/>
              </w:rPr>
              <w:t>0.2224947</w:t>
            </w:r>
            <w:r>
              <w:rPr>
                <w:rFonts w:eastAsia="Times New Roman" w:cs="Times New Roman"/>
                <w:sz w:val="20"/>
                <w:szCs w:val="20"/>
              </w:rPr>
              <w:t>)</w:t>
            </w:r>
          </w:p>
        </w:tc>
        <w:tc>
          <w:tcPr>
            <w:tcW w:w="2250" w:type="dxa"/>
            <w:shd w:val="clear" w:color="auto" w:fill="auto"/>
            <w:noWrap/>
            <w:vAlign w:val="center"/>
          </w:tcPr>
          <w:p w14:paraId="717C93F2" w14:textId="76506E5E" w:rsidR="00715498" w:rsidRPr="00BC6B4E" w:rsidRDefault="006D57B5" w:rsidP="00D816DF">
            <w:pPr>
              <w:spacing w:line="240" w:lineRule="auto"/>
              <w:rPr>
                <w:rFonts w:eastAsia="Times New Roman" w:cs="Times New Roman"/>
                <w:sz w:val="20"/>
                <w:szCs w:val="20"/>
              </w:rPr>
            </w:pPr>
            <w:r w:rsidRPr="006D57B5">
              <w:rPr>
                <w:rFonts w:eastAsia="Times New Roman" w:cs="Times New Roman"/>
                <w:sz w:val="20"/>
                <w:szCs w:val="20"/>
              </w:rPr>
              <w:t>-0.093759</w:t>
            </w:r>
            <w:r>
              <w:rPr>
                <w:rFonts w:eastAsia="Times New Roman" w:cs="Times New Roman"/>
                <w:sz w:val="20"/>
                <w:szCs w:val="20"/>
              </w:rPr>
              <w:t>(</w:t>
            </w:r>
            <w:r w:rsidRPr="006D57B5">
              <w:rPr>
                <w:rFonts w:eastAsia="Times New Roman" w:cs="Times New Roman"/>
                <w:sz w:val="20"/>
                <w:szCs w:val="20"/>
              </w:rPr>
              <w:t>-0.178926</w:t>
            </w:r>
            <w:r>
              <w:rPr>
                <w:rFonts w:eastAsia="Times New Roman" w:cs="Times New Roman"/>
                <w:sz w:val="20"/>
                <w:szCs w:val="20"/>
              </w:rPr>
              <w:t xml:space="preserve"> to </w:t>
            </w:r>
            <w:r w:rsidRPr="006D57B5">
              <w:rPr>
                <w:rFonts w:eastAsia="Times New Roman" w:cs="Times New Roman"/>
                <w:sz w:val="20"/>
                <w:szCs w:val="20"/>
              </w:rPr>
              <w:t>-0.004035</w:t>
            </w:r>
            <w:r>
              <w:rPr>
                <w:rFonts w:eastAsia="Times New Roman" w:cs="Times New Roman"/>
                <w:sz w:val="20"/>
                <w:szCs w:val="20"/>
              </w:rPr>
              <w:t>)</w:t>
            </w:r>
          </w:p>
        </w:tc>
        <w:tc>
          <w:tcPr>
            <w:tcW w:w="2250" w:type="dxa"/>
            <w:shd w:val="clear" w:color="auto" w:fill="auto"/>
            <w:noWrap/>
            <w:vAlign w:val="center"/>
          </w:tcPr>
          <w:p w14:paraId="5344AAD1" w14:textId="11BDB0D4" w:rsidR="00715498" w:rsidRPr="00BC6B4E" w:rsidRDefault="006D57B5" w:rsidP="00D816DF">
            <w:pPr>
              <w:spacing w:line="240" w:lineRule="auto"/>
              <w:rPr>
                <w:rFonts w:eastAsia="Times New Roman" w:cs="Times New Roman"/>
                <w:sz w:val="20"/>
                <w:szCs w:val="20"/>
              </w:rPr>
            </w:pPr>
            <w:r w:rsidRPr="006D57B5">
              <w:rPr>
                <w:rFonts w:eastAsia="Times New Roman" w:cs="Times New Roman"/>
                <w:sz w:val="20"/>
                <w:szCs w:val="20"/>
              </w:rPr>
              <w:t>-1.008068</w:t>
            </w:r>
            <w:r>
              <w:rPr>
                <w:rFonts w:eastAsia="Times New Roman" w:cs="Times New Roman"/>
                <w:sz w:val="20"/>
                <w:szCs w:val="20"/>
              </w:rPr>
              <w:t>-</w:t>
            </w:r>
            <w:r w:rsidRPr="006D57B5">
              <w:rPr>
                <w:rFonts w:eastAsia="Times New Roman" w:cs="Times New Roman"/>
                <w:sz w:val="20"/>
                <w:szCs w:val="20"/>
              </w:rPr>
              <w:t>0.490446</w:t>
            </w:r>
          </w:p>
        </w:tc>
      </w:tr>
      <w:tr w:rsidR="00185C40" w:rsidRPr="00E94A8F" w14:paraId="7CC93F6B" w14:textId="77777777" w:rsidTr="00185C40">
        <w:trPr>
          <w:trHeight w:val="301"/>
        </w:trPr>
        <w:tc>
          <w:tcPr>
            <w:tcW w:w="1142" w:type="dxa"/>
            <w:vMerge/>
            <w:shd w:val="clear" w:color="auto" w:fill="auto"/>
            <w:noWrap/>
            <w:vAlign w:val="center"/>
            <w:hideMark/>
          </w:tcPr>
          <w:p w14:paraId="715F45BC" w14:textId="77777777" w:rsidR="00715498" w:rsidRPr="00BC6B4E" w:rsidRDefault="00715498" w:rsidP="00715498">
            <w:pPr>
              <w:spacing w:line="240" w:lineRule="auto"/>
              <w:jc w:val="center"/>
              <w:rPr>
                <w:rFonts w:eastAsia="Times New Roman" w:cs="Times New Roman"/>
                <w:sz w:val="20"/>
                <w:szCs w:val="20"/>
              </w:rPr>
            </w:pPr>
          </w:p>
        </w:tc>
        <w:tc>
          <w:tcPr>
            <w:tcW w:w="2700" w:type="dxa"/>
            <w:shd w:val="clear" w:color="auto" w:fill="auto"/>
            <w:noWrap/>
            <w:vAlign w:val="center"/>
            <w:hideMark/>
          </w:tcPr>
          <w:p w14:paraId="6F032C43" w14:textId="77777777" w:rsidR="00715498" w:rsidRDefault="00715498" w:rsidP="00D816DF">
            <w:pPr>
              <w:spacing w:line="240" w:lineRule="auto"/>
              <w:rPr>
                <w:rFonts w:eastAsia="Times New Roman" w:cs="Times New Roman"/>
                <w:sz w:val="20"/>
                <w:szCs w:val="20"/>
              </w:rPr>
            </w:pPr>
            <w:r>
              <w:rPr>
                <w:rFonts w:eastAsia="Times New Roman" w:cs="Times New Roman"/>
                <w:sz w:val="20"/>
                <w:szCs w:val="20"/>
              </w:rPr>
              <w:t>Providers with telehealth service per state</w:t>
            </w:r>
          </w:p>
        </w:tc>
        <w:tc>
          <w:tcPr>
            <w:tcW w:w="2160" w:type="dxa"/>
            <w:shd w:val="clear" w:color="auto" w:fill="auto"/>
            <w:noWrap/>
            <w:vAlign w:val="center"/>
          </w:tcPr>
          <w:p w14:paraId="67C606FD" w14:textId="183B0FAE" w:rsidR="00715498" w:rsidRPr="00BC6B4E" w:rsidRDefault="006D57B5" w:rsidP="00D816DF">
            <w:pPr>
              <w:spacing w:line="240" w:lineRule="auto"/>
              <w:rPr>
                <w:rFonts w:eastAsia="Times New Roman" w:cs="Times New Roman"/>
                <w:sz w:val="20"/>
                <w:szCs w:val="20"/>
              </w:rPr>
            </w:pPr>
            <w:r w:rsidRPr="006D57B5">
              <w:rPr>
                <w:rFonts w:eastAsia="Times New Roman" w:cs="Times New Roman"/>
                <w:sz w:val="20"/>
                <w:szCs w:val="20"/>
              </w:rPr>
              <w:t>429.4</w:t>
            </w:r>
            <w:r>
              <w:rPr>
                <w:rFonts w:eastAsia="Times New Roman" w:cs="Times New Roman"/>
                <w:sz w:val="20"/>
                <w:szCs w:val="20"/>
              </w:rPr>
              <w:t>(</w:t>
            </w:r>
            <w:r w:rsidRPr="006D57B5">
              <w:rPr>
                <w:rFonts w:eastAsia="Times New Roman" w:cs="Times New Roman"/>
                <w:sz w:val="20"/>
                <w:szCs w:val="20"/>
              </w:rPr>
              <w:t>415.7144</w:t>
            </w:r>
            <w:r>
              <w:rPr>
                <w:rFonts w:eastAsia="Times New Roman" w:cs="Times New Roman"/>
                <w:sz w:val="20"/>
                <w:szCs w:val="20"/>
              </w:rPr>
              <w:t>)</w:t>
            </w:r>
          </w:p>
        </w:tc>
        <w:tc>
          <w:tcPr>
            <w:tcW w:w="2250" w:type="dxa"/>
            <w:shd w:val="clear" w:color="auto" w:fill="auto"/>
            <w:noWrap/>
            <w:vAlign w:val="center"/>
          </w:tcPr>
          <w:p w14:paraId="33071378" w14:textId="08ED7988" w:rsidR="00715498" w:rsidRPr="00BC6B4E" w:rsidRDefault="006D57B5" w:rsidP="00D816DF">
            <w:pPr>
              <w:spacing w:line="240" w:lineRule="auto"/>
              <w:rPr>
                <w:rFonts w:eastAsia="Times New Roman" w:cs="Times New Roman"/>
                <w:sz w:val="20"/>
                <w:szCs w:val="20"/>
              </w:rPr>
            </w:pPr>
            <w:r w:rsidRPr="006D57B5">
              <w:rPr>
                <w:rFonts w:eastAsia="Times New Roman" w:cs="Times New Roman"/>
                <w:sz w:val="20"/>
                <w:szCs w:val="20"/>
              </w:rPr>
              <w:t>305.0</w:t>
            </w:r>
            <w:r>
              <w:rPr>
                <w:rFonts w:eastAsia="Times New Roman" w:cs="Times New Roman"/>
                <w:sz w:val="20"/>
                <w:szCs w:val="20"/>
              </w:rPr>
              <w:t>(</w:t>
            </w:r>
            <w:r w:rsidRPr="006D57B5">
              <w:rPr>
                <w:rFonts w:eastAsia="Times New Roman" w:cs="Times New Roman"/>
                <w:sz w:val="20"/>
                <w:szCs w:val="20"/>
              </w:rPr>
              <w:t>135.5</w:t>
            </w:r>
            <w:r>
              <w:rPr>
                <w:rFonts w:eastAsia="Times New Roman" w:cs="Times New Roman"/>
                <w:sz w:val="20"/>
                <w:szCs w:val="20"/>
              </w:rPr>
              <w:t>-</w:t>
            </w:r>
            <w:r>
              <w:t xml:space="preserve"> </w:t>
            </w:r>
            <w:r w:rsidRPr="006D57B5">
              <w:rPr>
                <w:rFonts w:eastAsia="Times New Roman" w:cs="Times New Roman"/>
                <w:sz w:val="20"/>
                <w:szCs w:val="20"/>
              </w:rPr>
              <w:t>531.5</w:t>
            </w:r>
            <w:r>
              <w:rPr>
                <w:rFonts w:eastAsia="Times New Roman" w:cs="Times New Roman"/>
                <w:sz w:val="20"/>
                <w:szCs w:val="20"/>
              </w:rPr>
              <w:t>)</w:t>
            </w:r>
          </w:p>
        </w:tc>
        <w:tc>
          <w:tcPr>
            <w:tcW w:w="2250" w:type="dxa"/>
            <w:shd w:val="clear" w:color="auto" w:fill="auto"/>
            <w:noWrap/>
            <w:vAlign w:val="center"/>
          </w:tcPr>
          <w:p w14:paraId="3182AA3A" w14:textId="1809D1AF" w:rsidR="00715498" w:rsidRPr="00BC6B4E" w:rsidRDefault="006D57B5" w:rsidP="00D816DF">
            <w:pPr>
              <w:spacing w:line="240" w:lineRule="auto"/>
              <w:rPr>
                <w:rFonts w:eastAsia="Times New Roman" w:cs="Times New Roman"/>
                <w:sz w:val="20"/>
                <w:szCs w:val="20"/>
              </w:rPr>
            </w:pPr>
            <w:r w:rsidRPr="006D57B5">
              <w:rPr>
                <w:rFonts w:eastAsia="Times New Roman" w:cs="Times New Roman"/>
                <w:sz w:val="20"/>
                <w:szCs w:val="20"/>
              </w:rPr>
              <w:t>7.0</w:t>
            </w:r>
            <w:r>
              <w:rPr>
                <w:rFonts w:eastAsia="Times New Roman" w:cs="Times New Roman"/>
                <w:sz w:val="20"/>
                <w:szCs w:val="20"/>
              </w:rPr>
              <w:t>-</w:t>
            </w:r>
            <w:r>
              <w:t xml:space="preserve"> </w:t>
            </w:r>
            <w:r w:rsidRPr="006D57B5">
              <w:rPr>
                <w:rFonts w:eastAsia="Times New Roman" w:cs="Times New Roman"/>
                <w:sz w:val="20"/>
                <w:szCs w:val="20"/>
              </w:rPr>
              <w:t>1734.0</w:t>
            </w:r>
          </w:p>
        </w:tc>
      </w:tr>
      <w:tr w:rsidR="00185C40" w:rsidRPr="00E94A8F" w14:paraId="0DB06DF0" w14:textId="77777777" w:rsidTr="00185C40">
        <w:trPr>
          <w:trHeight w:val="301"/>
        </w:trPr>
        <w:tc>
          <w:tcPr>
            <w:tcW w:w="1142" w:type="dxa"/>
            <w:vMerge/>
            <w:shd w:val="clear" w:color="auto" w:fill="auto"/>
            <w:noWrap/>
            <w:vAlign w:val="center"/>
            <w:hideMark/>
          </w:tcPr>
          <w:p w14:paraId="4F92EF98" w14:textId="77777777" w:rsidR="00715498" w:rsidRPr="00BC6B4E" w:rsidRDefault="00715498" w:rsidP="00715498">
            <w:pPr>
              <w:spacing w:line="240" w:lineRule="auto"/>
              <w:jc w:val="center"/>
              <w:rPr>
                <w:rFonts w:eastAsia="Times New Roman" w:cs="Times New Roman"/>
                <w:sz w:val="20"/>
                <w:szCs w:val="20"/>
              </w:rPr>
            </w:pPr>
          </w:p>
        </w:tc>
        <w:tc>
          <w:tcPr>
            <w:tcW w:w="2700" w:type="dxa"/>
            <w:shd w:val="clear" w:color="auto" w:fill="auto"/>
            <w:noWrap/>
            <w:vAlign w:val="center"/>
            <w:hideMark/>
          </w:tcPr>
          <w:p w14:paraId="52FE80A5" w14:textId="77777777" w:rsidR="00715498" w:rsidRDefault="00715498" w:rsidP="00D816DF">
            <w:pPr>
              <w:spacing w:line="240" w:lineRule="auto"/>
              <w:rPr>
                <w:rFonts w:eastAsia="Times New Roman" w:cs="Times New Roman"/>
                <w:sz w:val="20"/>
                <w:szCs w:val="20"/>
              </w:rPr>
            </w:pPr>
            <w:r>
              <w:rPr>
                <w:rFonts w:eastAsia="Times New Roman" w:cs="Times New Roman"/>
                <w:sz w:val="20"/>
                <w:szCs w:val="20"/>
              </w:rPr>
              <w:t>Providers with telehealth service per Medicare FFS beneficiaries</w:t>
            </w:r>
          </w:p>
        </w:tc>
        <w:tc>
          <w:tcPr>
            <w:tcW w:w="2160" w:type="dxa"/>
            <w:shd w:val="clear" w:color="auto" w:fill="auto"/>
            <w:noWrap/>
            <w:vAlign w:val="center"/>
          </w:tcPr>
          <w:p w14:paraId="089A1F66" w14:textId="6D22B7A5" w:rsidR="00715498" w:rsidRPr="00BC6B4E" w:rsidRDefault="006D57B5" w:rsidP="00D816DF">
            <w:pPr>
              <w:spacing w:line="240" w:lineRule="auto"/>
              <w:rPr>
                <w:rFonts w:eastAsia="Times New Roman" w:cs="Times New Roman"/>
                <w:sz w:val="20"/>
                <w:szCs w:val="20"/>
              </w:rPr>
            </w:pPr>
            <w:r w:rsidRPr="006D57B5">
              <w:rPr>
                <w:rFonts w:eastAsia="Times New Roman" w:cs="Times New Roman"/>
                <w:sz w:val="20"/>
                <w:szCs w:val="20"/>
              </w:rPr>
              <w:t>9.170e-05</w:t>
            </w:r>
            <w:r>
              <w:rPr>
                <w:rFonts w:eastAsia="Times New Roman" w:cs="Times New Roman"/>
                <w:sz w:val="20"/>
                <w:szCs w:val="20"/>
              </w:rPr>
              <w:t>(</w:t>
            </w:r>
            <w:r w:rsidRPr="006D57B5">
              <w:rPr>
                <w:rFonts w:eastAsia="Times New Roman" w:cs="Times New Roman"/>
                <w:sz w:val="20"/>
                <w:szCs w:val="20"/>
              </w:rPr>
              <w:t>0.0001739584</w:t>
            </w:r>
            <w:r>
              <w:rPr>
                <w:rFonts w:eastAsia="Times New Roman" w:cs="Times New Roman"/>
                <w:sz w:val="20"/>
                <w:szCs w:val="20"/>
              </w:rPr>
              <w:t>)</w:t>
            </w:r>
          </w:p>
        </w:tc>
        <w:tc>
          <w:tcPr>
            <w:tcW w:w="2250" w:type="dxa"/>
            <w:shd w:val="clear" w:color="auto" w:fill="auto"/>
            <w:noWrap/>
            <w:vAlign w:val="center"/>
          </w:tcPr>
          <w:p w14:paraId="1BB33D49" w14:textId="1E99505D" w:rsidR="00715498" w:rsidRPr="00BC6B4E" w:rsidRDefault="006D57B5" w:rsidP="00D816DF">
            <w:pPr>
              <w:spacing w:line="240" w:lineRule="auto"/>
              <w:rPr>
                <w:rFonts w:eastAsia="Times New Roman" w:cs="Times New Roman"/>
                <w:sz w:val="20"/>
                <w:szCs w:val="20"/>
              </w:rPr>
            </w:pPr>
            <w:r w:rsidRPr="006D57B5">
              <w:rPr>
                <w:rFonts w:eastAsia="Times New Roman" w:cs="Times New Roman"/>
                <w:sz w:val="20"/>
                <w:szCs w:val="20"/>
              </w:rPr>
              <w:t>9.872e-05</w:t>
            </w:r>
            <w:r>
              <w:rPr>
                <w:rFonts w:eastAsia="Times New Roman" w:cs="Times New Roman"/>
                <w:sz w:val="20"/>
                <w:szCs w:val="20"/>
              </w:rPr>
              <w:t>(</w:t>
            </w:r>
            <w:r w:rsidRPr="006D57B5">
              <w:rPr>
                <w:rFonts w:eastAsia="Times New Roman" w:cs="Times New Roman"/>
                <w:sz w:val="20"/>
                <w:szCs w:val="20"/>
              </w:rPr>
              <w:t>3.183e-05</w:t>
            </w:r>
            <w:r>
              <w:rPr>
                <w:rFonts w:eastAsia="Times New Roman" w:cs="Times New Roman"/>
                <w:sz w:val="20"/>
                <w:szCs w:val="20"/>
              </w:rPr>
              <w:t xml:space="preserve"> to </w:t>
            </w:r>
            <w:r w:rsidRPr="006D57B5">
              <w:rPr>
                <w:rFonts w:eastAsia="Times New Roman" w:cs="Times New Roman"/>
                <w:sz w:val="20"/>
                <w:szCs w:val="20"/>
              </w:rPr>
              <w:t>2.063e-04</w:t>
            </w:r>
            <w:r>
              <w:rPr>
                <w:rFonts w:eastAsia="Times New Roman" w:cs="Times New Roman"/>
                <w:sz w:val="20"/>
                <w:szCs w:val="20"/>
              </w:rPr>
              <w:t>)</w:t>
            </w:r>
          </w:p>
        </w:tc>
        <w:tc>
          <w:tcPr>
            <w:tcW w:w="2250" w:type="dxa"/>
            <w:shd w:val="clear" w:color="auto" w:fill="auto"/>
            <w:noWrap/>
            <w:vAlign w:val="center"/>
          </w:tcPr>
          <w:p w14:paraId="4642D9F5" w14:textId="44B90F26" w:rsidR="00715498" w:rsidRPr="00BC6B4E" w:rsidRDefault="006D57B5" w:rsidP="00D816DF">
            <w:pPr>
              <w:spacing w:line="240" w:lineRule="auto"/>
              <w:rPr>
                <w:rFonts w:eastAsia="Times New Roman" w:cs="Times New Roman"/>
                <w:sz w:val="20"/>
                <w:szCs w:val="20"/>
              </w:rPr>
            </w:pPr>
            <w:r w:rsidRPr="006D57B5">
              <w:rPr>
                <w:rFonts w:eastAsia="Times New Roman" w:cs="Times New Roman"/>
                <w:sz w:val="20"/>
                <w:szCs w:val="20"/>
              </w:rPr>
              <w:t>-3.431e-04</w:t>
            </w:r>
            <w:r>
              <w:rPr>
                <w:rFonts w:eastAsia="Times New Roman" w:cs="Times New Roman"/>
                <w:sz w:val="20"/>
                <w:szCs w:val="20"/>
              </w:rPr>
              <w:t xml:space="preserve"> to </w:t>
            </w:r>
            <w:r w:rsidRPr="006D57B5">
              <w:rPr>
                <w:rFonts w:eastAsia="Times New Roman" w:cs="Times New Roman"/>
                <w:sz w:val="20"/>
                <w:szCs w:val="20"/>
              </w:rPr>
              <w:t>5.879e-04</w:t>
            </w:r>
          </w:p>
        </w:tc>
      </w:tr>
      <w:tr w:rsidR="00185C40" w:rsidRPr="00E94A8F" w14:paraId="4AC58B2C" w14:textId="77777777" w:rsidTr="00185C40">
        <w:trPr>
          <w:trHeight w:val="301"/>
        </w:trPr>
        <w:tc>
          <w:tcPr>
            <w:tcW w:w="1142" w:type="dxa"/>
            <w:vMerge/>
            <w:shd w:val="clear" w:color="auto" w:fill="auto"/>
            <w:noWrap/>
            <w:vAlign w:val="center"/>
            <w:hideMark/>
          </w:tcPr>
          <w:p w14:paraId="4476532C" w14:textId="77777777" w:rsidR="00715498" w:rsidRPr="00BC6B4E" w:rsidRDefault="00715498" w:rsidP="00715498">
            <w:pPr>
              <w:spacing w:line="240" w:lineRule="auto"/>
              <w:jc w:val="center"/>
              <w:rPr>
                <w:rFonts w:eastAsia="Times New Roman" w:cs="Times New Roman"/>
                <w:sz w:val="20"/>
                <w:szCs w:val="20"/>
              </w:rPr>
            </w:pPr>
          </w:p>
        </w:tc>
        <w:tc>
          <w:tcPr>
            <w:tcW w:w="2700" w:type="dxa"/>
            <w:shd w:val="clear" w:color="auto" w:fill="auto"/>
            <w:noWrap/>
            <w:vAlign w:val="center"/>
            <w:hideMark/>
          </w:tcPr>
          <w:p w14:paraId="0A61A7AA" w14:textId="77777777" w:rsidR="00715498" w:rsidRPr="00BC6B4E" w:rsidRDefault="00715498" w:rsidP="00D816DF">
            <w:pPr>
              <w:spacing w:line="240" w:lineRule="auto"/>
              <w:rPr>
                <w:rFonts w:eastAsia="Times New Roman" w:cs="Times New Roman"/>
                <w:sz w:val="20"/>
                <w:szCs w:val="20"/>
              </w:rPr>
            </w:pPr>
            <w:r>
              <w:rPr>
                <w:rFonts w:eastAsia="Times New Roman" w:cs="Times New Roman"/>
                <w:sz w:val="20"/>
                <w:szCs w:val="20"/>
              </w:rPr>
              <w:t>Telehealth services per provider</w:t>
            </w:r>
          </w:p>
        </w:tc>
        <w:tc>
          <w:tcPr>
            <w:tcW w:w="2160" w:type="dxa"/>
            <w:shd w:val="clear" w:color="auto" w:fill="auto"/>
            <w:noWrap/>
            <w:vAlign w:val="center"/>
          </w:tcPr>
          <w:p w14:paraId="5F69CEB7" w14:textId="12AE7D9E" w:rsidR="00715498" w:rsidRPr="00BC6B4E" w:rsidRDefault="00760A5F" w:rsidP="00D816DF">
            <w:pPr>
              <w:spacing w:line="240" w:lineRule="auto"/>
              <w:rPr>
                <w:rFonts w:eastAsia="Times New Roman" w:cs="Times New Roman"/>
                <w:sz w:val="20"/>
                <w:szCs w:val="20"/>
              </w:rPr>
            </w:pPr>
            <w:r>
              <w:rPr>
                <w:rFonts w:eastAsia="Times New Roman" w:cs="Times New Roman"/>
                <w:sz w:val="20"/>
                <w:szCs w:val="20"/>
              </w:rPr>
              <w:t>0(0)</w:t>
            </w:r>
          </w:p>
        </w:tc>
        <w:tc>
          <w:tcPr>
            <w:tcW w:w="2250" w:type="dxa"/>
            <w:shd w:val="clear" w:color="auto" w:fill="auto"/>
            <w:noWrap/>
            <w:vAlign w:val="center"/>
          </w:tcPr>
          <w:p w14:paraId="792C37E4" w14:textId="4B15DDBB" w:rsidR="00715498" w:rsidRPr="00BC6B4E" w:rsidRDefault="00760A5F" w:rsidP="00D816DF">
            <w:pPr>
              <w:spacing w:line="240" w:lineRule="auto"/>
              <w:rPr>
                <w:rFonts w:eastAsia="Times New Roman" w:cs="Times New Roman"/>
                <w:bCs/>
                <w:sz w:val="20"/>
                <w:szCs w:val="20"/>
              </w:rPr>
            </w:pPr>
            <w:r>
              <w:rPr>
                <w:rFonts w:eastAsia="Times New Roman" w:cs="Times New Roman"/>
                <w:bCs/>
                <w:sz w:val="20"/>
                <w:szCs w:val="20"/>
              </w:rPr>
              <w:t>0(0-0)</w:t>
            </w:r>
          </w:p>
        </w:tc>
        <w:tc>
          <w:tcPr>
            <w:tcW w:w="2250" w:type="dxa"/>
            <w:shd w:val="clear" w:color="auto" w:fill="auto"/>
            <w:noWrap/>
            <w:vAlign w:val="center"/>
          </w:tcPr>
          <w:p w14:paraId="306917DF" w14:textId="20E825C7" w:rsidR="00715498" w:rsidRPr="00BC6B4E" w:rsidRDefault="00760A5F" w:rsidP="00D816DF">
            <w:pPr>
              <w:spacing w:line="240" w:lineRule="auto"/>
              <w:rPr>
                <w:rFonts w:eastAsia="Times New Roman" w:cs="Times New Roman"/>
                <w:sz w:val="20"/>
                <w:szCs w:val="20"/>
              </w:rPr>
            </w:pPr>
            <w:r>
              <w:rPr>
                <w:rFonts w:eastAsia="Times New Roman" w:cs="Times New Roman"/>
                <w:sz w:val="20"/>
                <w:szCs w:val="20"/>
              </w:rPr>
              <w:t>0-0</w:t>
            </w:r>
          </w:p>
        </w:tc>
      </w:tr>
    </w:tbl>
    <w:p w14:paraId="1778E390" w14:textId="77777777" w:rsidR="00EC4FC6" w:rsidRPr="00120719" w:rsidRDefault="00EC4FC6" w:rsidP="00EC4FC6">
      <w:pPr>
        <w:spacing w:line="240" w:lineRule="auto"/>
      </w:pPr>
    </w:p>
    <w:p w14:paraId="13BED738" w14:textId="77777777" w:rsidR="00EC4FC6" w:rsidRDefault="00EC4FC6" w:rsidP="00EC4FC6">
      <w:pPr>
        <w:spacing w:line="240" w:lineRule="auto"/>
      </w:pPr>
      <w:r w:rsidRPr="00E86331">
        <w:rPr>
          <w:b/>
        </w:rPr>
        <w:t>Note:</w:t>
      </w:r>
      <w:r w:rsidRPr="00120719">
        <w:t xml:space="preserve"> </w:t>
      </w:r>
      <w:r w:rsidR="00715498">
        <w:t xml:space="preserve">The summary statistics </w:t>
      </w:r>
      <w:r>
        <w:t xml:space="preserve">were based on data from the </w:t>
      </w:r>
      <w:r w:rsidRPr="00120719">
        <w:t>Medicare Provider Utilization and Payment Data: Physician and Other Supplier Public Use File (PUF) file and the Medicare Fee-For-Service Enrollment PUF data</w:t>
      </w:r>
      <w:r>
        <w:t xml:space="preserve"> for calendar years 201</w:t>
      </w:r>
      <w:r w:rsidR="00715498">
        <w:t>6</w:t>
      </w:r>
      <w:r>
        <w:t xml:space="preserve">-2017. </w:t>
      </w:r>
      <w:r w:rsidR="00715498">
        <w:t xml:space="preserve">We aggregated data at the state level. </w:t>
      </w:r>
      <w:r w:rsidRPr="007849DC">
        <w:t>The provider PUF includes summaries of service and procedures provided by physicians and other healthcare professionals to FFS Medicare beneficiaries</w:t>
      </w:r>
      <w:r>
        <w:t>, thus the data are at individual provider level instead of individual patient level.</w:t>
      </w:r>
      <w:r w:rsidRPr="007849DC">
        <w:t xml:space="preserve"> </w:t>
      </w:r>
      <w:r>
        <w:t xml:space="preserve">Only providers with more than 11 services were available from the provider PUF data. Data were </w:t>
      </w:r>
      <w:r w:rsidR="004D4B4B">
        <w:t xml:space="preserve">based on claims </w:t>
      </w:r>
      <w:r>
        <w:t xml:space="preserve">for fee-for-service (FFS) Medicare enrollees only. </w:t>
      </w:r>
    </w:p>
    <w:p w14:paraId="244C25FA" w14:textId="77777777" w:rsidR="00F85D5C" w:rsidRDefault="00F85D5C">
      <w:pPr>
        <w:shd w:val="clear" w:color="auto" w:fill="FFFFFF"/>
        <w:spacing w:before="220"/>
        <w:sectPr w:rsidR="00F85D5C">
          <w:pgSz w:w="12240" w:h="15840"/>
          <w:pgMar w:top="1440" w:right="1440" w:bottom="1440" w:left="1440" w:header="720" w:footer="720" w:gutter="0"/>
          <w:pgNumType w:start="1"/>
          <w:cols w:space="720"/>
        </w:sectPr>
      </w:pPr>
    </w:p>
    <w:p w14:paraId="1B5332E6" w14:textId="764ED9B5" w:rsidR="00D3026C" w:rsidRDefault="00F85D5C">
      <w:pPr>
        <w:shd w:val="clear" w:color="auto" w:fill="FFFFFF"/>
        <w:spacing w:before="220"/>
      </w:pPr>
      <w:r>
        <w:rPr>
          <w:b/>
        </w:rPr>
        <w:lastRenderedPageBreak/>
        <w:t>Exhibit X</w:t>
      </w:r>
      <w:r w:rsidRPr="00374785">
        <w:rPr>
          <w:b/>
        </w:rPr>
        <w:t>.</w:t>
      </w:r>
      <w:r>
        <w:t xml:space="preserve"> </w:t>
      </w:r>
      <w:r w:rsidR="00217E8D">
        <w:t>Distribution of telehealth services by provider specialties.</w:t>
      </w:r>
    </w:p>
    <w:p w14:paraId="7BF557B5" w14:textId="568B7EA2" w:rsidR="00217E8D" w:rsidRPr="00C83B1C" w:rsidRDefault="00217E8D">
      <w:pPr>
        <w:shd w:val="clear" w:color="auto" w:fill="FFFFFF"/>
        <w:spacing w:before="220"/>
      </w:pPr>
      <w:commentRangeStart w:id="2"/>
      <w:r>
        <w:rPr>
          <w:noProof/>
          <w:lang w:val="en-US" w:eastAsia="zh-CN"/>
        </w:rPr>
        <w:drawing>
          <wp:inline distT="0" distB="0" distL="0" distR="0" wp14:anchorId="70406985" wp14:editId="59D4FDC7">
            <wp:extent cx="5943600" cy="3962400"/>
            <wp:effectExtent l="0" t="0" r="0" b="0"/>
            <wp:docPr id="15" name="Picture 15" descr="C:\Users\liub07\AppData\Local\Microsoft\Windows\INetCache\Content.Word\Fig1_prvBa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ub07\AppData\Local\Microsoft\Windows\INetCache\Content.Word\Fig1_prvBar.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commentRangeEnd w:id="2"/>
      <w:r>
        <w:rPr>
          <w:rStyle w:val="CommentReference"/>
        </w:rPr>
        <w:commentReference w:id="2"/>
      </w:r>
    </w:p>
    <w:p w14:paraId="61D453D4" w14:textId="77777777" w:rsidR="00D0633B" w:rsidRPr="00C83B1C" w:rsidRDefault="00D0633B"/>
    <w:p w14:paraId="29A0E7A6" w14:textId="77777777" w:rsidR="00D0633B" w:rsidRPr="00C83B1C" w:rsidRDefault="00D0633B"/>
    <w:p w14:paraId="1CE399E8" w14:textId="7B266102" w:rsidR="00D0633B" w:rsidRPr="00C83B1C" w:rsidRDefault="002553A1">
      <w:r>
        <w:rPr>
          <w:noProof/>
          <w:lang w:val="en-US" w:eastAsia="zh-CN"/>
        </w:rPr>
        <w:drawing>
          <wp:inline distT="0" distB="0" distL="0" distR="0" wp14:anchorId="0A64728E" wp14:editId="59FC8A3A">
            <wp:extent cx="6109335" cy="3294170"/>
            <wp:effectExtent l="0" t="0" r="12065" b="82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0A414A0" w14:textId="77777777" w:rsidR="00217E8D" w:rsidRDefault="00217E8D">
      <w:pPr>
        <w:rPr>
          <w:rFonts w:hint="eastAsia"/>
          <w:lang w:eastAsia="zh-CN"/>
        </w:rPr>
        <w:sectPr w:rsidR="00217E8D">
          <w:pgSz w:w="12240" w:h="15840"/>
          <w:pgMar w:top="1440" w:right="1440" w:bottom="1440" w:left="1440" w:header="720" w:footer="720" w:gutter="0"/>
          <w:pgNumType w:start="1"/>
          <w:cols w:space="720"/>
        </w:sectPr>
      </w:pPr>
    </w:p>
    <w:p w14:paraId="1A81D38F" w14:textId="2493F5B2" w:rsidR="00D0633B" w:rsidRDefault="00217E8D" w:rsidP="00217E8D">
      <w:commentRangeStart w:id="3"/>
      <w:r>
        <w:rPr>
          <w:b/>
        </w:rPr>
        <w:lastRenderedPageBreak/>
        <w:t>Exhibit X</w:t>
      </w:r>
      <w:r w:rsidRPr="00374785">
        <w:rPr>
          <w:b/>
        </w:rPr>
        <w:t>.</w:t>
      </w:r>
      <w:r w:rsidR="00051DCC">
        <w:rPr>
          <w:b/>
        </w:rPr>
        <w:t xml:space="preserve"> </w:t>
      </w:r>
      <w:r w:rsidR="00051DCC">
        <w:t>Top 20 m</w:t>
      </w:r>
      <w:r w:rsidR="00051DCC" w:rsidRPr="00051DCC">
        <w:t>ost</w:t>
      </w:r>
      <w:r w:rsidR="00051DCC">
        <w:t xml:space="preserve"> </w:t>
      </w:r>
      <w:r w:rsidR="00C64AC7">
        <w:t xml:space="preserve">utilized </w:t>
      </w:r>
      <w:r w:rsidR="00051DCC">
        <w:t xml:space="preserve">telehealth service types in </w:t>
      </w:r>
      <w:r w:rsidR="00F2407D">
        <w:t xml:space="preserve">2016 and </w:t>
      </w:r>
      <w:r w:rsidR="00051DCC">
        <w:t xml:space="preserve">2017. </w:t>
      </w:r>
      <w:commentRangeEnd w:id="3"/>
      <w:r w:rsidR="00F2407D">
        <w:rPr>
          <w:rStyle w:val="CommentReference"/>
        </w:rPr>
        <w:commentReference w:id="3"/>
      </w:r>
    </w:p>
    <w:p w14:paraId="0F67B9D1" w14:textId="77777777" w:rsidR="00795D61" w:rsidRDefault="00795D61" w:rsidP="00217E8D"/>
    <w:tbl>
      <w:tblPr>
        <w:tblW w:w="6388" w:type="dxa"/>
        <w:tblLook w:val="04A0" w:firstRow="1" w:lastRow="0" w:firstColumn="1" w:lastColumn="0" w:noHBand="0" w:noVBand="1"/>
      </w:tblPr>
      <w:tblGrid>
        <w:gridCol w:w="1640"/>
        <w:gridCol w:w="1615"/>
        <w:gridCol w:w="1640"/>
        <w:gridCol w:w="1493"/>
      </w:tblGrid>
      <w:tr w:rsidR="004E7D14" w:rsidRPr="00A94B55" w14:paraId="25629683" w14:textId="77777777" w:rsidTr="004E7D14">
        <w:trPr>
          <w:trHeight w:val="320"/>
        </w:trPr>
        <w:tc>
          <w:tcPr>
            <w:tcW w:w="164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16135DCE" w14:textId="77777777" w:rsidR="004E7D14" w:rsidRPr="00A94B55" w:rsidRDefault="004E7D14" w:rsidP="00A94B55">
            <w:pPr>
              <w:spacing w:line="240" w:lineRule="auto"/>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2017 HCPCS</w:t>
            </w:r>
          </w:p>
        </w:tc>
        <w:tc>
          <w:tcPr>
            <w:tcW w:w="1615" w:type="dxa"/>
            <w:tcBorders>
              <w:top w:val="single" w:sz="4" w:space="0" w:color="auto"/>
              <w:left w:val="nil"/>
              <w:bottom w:val="single" w:sz="4" w:space="0" w:color="auto"/>
              <w:right w:val="single" w:sz="4" w:space="0" w:color="auto"/>
            </w:tcBorders>
            <w:shd w:val="clear" w:color="000000" w:fill="B4C6E7"/>
            <w:noWrap/>
            <w:vAlign w:val="bottom"/>
            <w:hideMark/>
          </w:tcPr>
          <w:p w14:paraId="00026282" w14:textId="77777777" w:rsidR="004E7D14" w:rsidRPr="00A94B55" w:rsidRDefault="004E7D14" w:rsidP="00A94B55">
            <w:pPr>
              <w:spacing w:line="240" w:lineRule="auto"/>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Services</w:t>
            </w:r>
          </w:p>
        </w:tc>
        <w:tc>
          <w:tcPr>
            <w:tcW w:w="1640" w:type="dxa"/>
            <w:tcBorders>
              <w:top w:val="single" w:sz="4" w:space="0" w:color="auto"/>
              <w:left w:val="nil"/>
              <w:bottom w:val="single" w:sz="4" w:space="0" w:color="auto"/>
              <w:right w:val="single" w:sz="4" w:space="0" w:color="auto"/>
            </w:tcBorders>
            <w:shd w:val="clear" w:color="000000" w:fill="B4C6E7"/>
            <w:noWrap/>
            <w:vAlign w:val="bottom"/>
            <w:hideMark/>
          </w:tcPr>
          <w:p w14:paraId="20300432" w14:textId="77777777" w:rsidR="004E7D14" w:rsidRPr="00A94B55" w:rsidRDefault="004E7D14" w:rsidP="00A94B55">
            <w:pPr>
              <w:spacing w:line="240" w:lineRule="auto"/>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2016 HCPCS</w:t>
            </w:r>
          </w:p>
        </w:tc>
        <w:tc>
          <w:tcPr>
            <w:tcW w:w="1493" w:type="dxa"/>
            <w:tcBorders>
              <w:top w:val="single" w:sz="4" w:space="0" w:color="auto"/>
              <w:left w:val="nil"/>
              <w:bottom w:val="single" w:sz="4" w:space="0" w:color="auto"/>
              <w:right w:val="single" w:sz="4" w:space="0" w:color="auto"/>
            </w:tcBorders>
            <w:shd w:val="clear" w:color="000000" w:fill="B4C6E7"/>
            <w:noWrap/>
            <w:vAlign w:val="bottom"/>
            <w:hideMark/>
          </w:tcPr>
          <w:p w14:paraId="6D1DA57D" w14:textId="77777777" w:rsidR="004E7D14" w:rsidRPr="00A94B55" w:rsidRDefault="004E7D14" w:rsidP="00A94B55">
            <w:pPr>
              <w:spacing w:line="240" w:lineRule="auto"/>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Services</w:t>
            </w:r>
          </w:p>
        </w:tc>
      </w:tr>
      <w:tr w:rsidR="004E7D14" w:rsidRPr="00A94B55" w14:paraId="735D0603"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5234DADB"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99214</w:t>
            </w:r>
          </w:p>
        </w:tc>
        <w:tc>
          <w:tcPr>
            <w:tcW w:w="1615" w:type="dxa"/>
            <w:tcBorders>
              <w:top w:val="nil"/>
              <w:left w:val="nil"/>
              <w:bottom w:val="single" w:sz="4" w:space="0" w:color="auto"/>
              <w:right w:val="single" w:sz="4" w:space="0" w:color="auto"/>
            </w:tcBorders>
            <w:shd w:val="clear" w:color="auto" w:fill="auto"/>
            <w:noWrap/>
            <w:vAlign w:val="bottom"/>
            <w:hideMark/>
          </w:tcPr>
          <w:p w14:paraId="50BCF766"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101141006.50</w:t>
            </w:r>
          </w:p>
        </w:tc>
        <w:tc>
          <w:tcPr>
            <w:tcW w:w="1640" w:type="dxa"/>
            <w:tcBorders>
              <w:top w:val="nil"/>
              <w:left w:val="nil"/>
              <w:bottom w:val="single" w:sz="4" w:space="0" w:color="auto"/>
              <w:right w:val="single" w:sz="4" w:space="0" w:color="auto"/>
            </w:tcBorders>
            <w:shd w:val="clear" w:color="auto" w:fill="auto"/>
            <w:noWrap/>
            <w:vAlign w:val="bottom"/>
            <w:hideMark/>
          </w:tcPr>
          <w:p w14:paraId="501E3805"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99214</w:t>
            </w:r>
          </w:p>
        </w:tc>
        <w:tc>
          <w:tcPr>
            <w:tcW w:w="1493" w:type="dxa"/>
            <w:tcBorders>
              <w:top w:val="nil"/>
              <w:left w:val="nil"/>
              <w:bottom w:val="single" w:sz="4" w:space="0" w:color="auto"/>
              <w:right w:val="single" w:sz="4" w:space="0" w:color="auto"/>
            </w:tcBorders>
            <w:shd w:val="clear" w:color="auto" w:fill="auto"/>
            <w:noWrap/>
            <w:vAlign w:val="bottom"/>
            <w:hideMark/>
          </w:tcPr>
          <w:p w14:paraId="3257F4F4"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98994700.60</w:t>
            </w:r>
          </w:p>
        </w:tc>
      </w:tr>
      <w:tr w:rsidR="004E7D14" w:rsidRPr="00A94B55" w14:paraId="480C682C"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52BC84F8"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99213</w:t>
            </w:r>
          </w:p>
        </w:tc>
        <w:tc>
          <w:tcPr>
            <w:tcW w:w="1615" w:type="dxa"/>
            <w:tcBorders>
              <w:top w:val="nil"/>
              <w:left w:val="nil"/>
              <w:bottom w:val="single" w:sz="4" w:space="0" w:color="auto"/>
              <w:right w:val="single" w:sz="4" w:space="0" w:color="auto"/>
            </w:tcBorders>
            <w:shd w:val="clear" w:color="auto" w:fill="auto"/>
            <w:noWrap/>
            <w:vAlign w:val="bottom"/>
            <w:hideMark/>
          </w:tcPr>
          <w:p w14:paraId="2545FCE1"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96481965.00</w:t>
            </w:r>
          </w:p>
        </w:tc>
        <w:tc>
          <w:tcPr>
            <w:tcW w:w="1640" w:type="dxa"/>
            <w:tcBorders>
              <w:top w:val="nil"/>
              <w:left w:val="nil"/>
              <w:bottom w:val="single" w:sz="4" w:space="0" w:color="auto"/>
              <w:right w:val="single" w:sz="4" w:space="0" w:color="auto"/>
            </w:tcBorders>
            <w:shd w:val="clear" w:color="auto" w:fill="auto"/>
            <w:noWrap/>
            <w:vAlign w:val="bottom"/>
            <w:hideMark/>
          </w:tcPr>
          <w:p w14:paraId="5647F74F"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99213</w:t>
            </w:r>
          </w:p>
        </w:tc>
        <w:tc>
          <w:tcPr>
            <w:tcW w:w="1493" w:type="dxa"/>
            <w:tcBorders>
              <w:top w:val="nil"/>
              <w:left w:val="nil"/>
              <w:bottom w:val="single" w:sz="4" w:space="0" w:color="auto"/>
              <w:right w:val="single" w:sz="4" w:space="0" w:color="auto"/>
            </w:tcBorders>
            <w:shd w:val="clear" w:color="auto" w:fill="auto"/>
            <w:noWrap/>
            <w:vAlign w:val="bottom"/>
            <w:hideMark/>
          </w:tcPr>
          <w:p w14:paraId="21E778A7"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98723975.70</w:t>
            </w:r>
          </w:p>
        </w:tc>
      </w:tr>
      <w:tr w:rsidR="004E7D14" w:rsidRPr="00A94B55" w14:paraId="3AD2CB45"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1F054118"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99232</w:t>
            </w:r>
          </w:p>
        </w:tc>
        <w:tc>
          <w:tcPr>
            <w:tcW w:w="1615" w:type="dxa"/>
            <w:tcBorders>
              <w:top w:val="nil"/>
              <w:left w:val="nil"/>
              <w:bottom w:val="single" w:sz="4" w:space="0" w:color="auto"/>
              <w:right w:val="single" w:sz="4" w:space="0" w:color="auto"/>
            </w:tcBorders>
            <w:shd w:val="clear" w:color="auto" w:fill="auto"/>
            <w:noWrap/>
            <w:vAlign w:val="bottom"/>
            <w:hideMark/>
          </w:tcPr>
          <w:p w14:paraId="279EF8C8"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46704036.70</w:t>
            </w:r>
          </w:p>
        </w:tc>
        <w:tc>
          <w:tcPr>
            <w:tcW w:w="1640" w:type="dxa"/>
            <w:tcBorders>
              <w:top w:val="nil"/>
              <w:left w:val="nil"/>
              <w:bottom w:val="single" w:sz="4" w:space="0" w:color="auto"/>
              <w:right w:val="single" w:sz="4" w:space="0" w:color="auto"/>
            </w:tcBorders>
            <w:shd w:val="clear" w:color="auto" w:fill="auto"/>
            <w:noWrap/>
            <w:vAlign w:val="bottom"/>
            <w:hideMark/>
          </w:tcPr>
          <w:p w14:paraId="53479864"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99232</w:t>
            </w:r>
          </w:p>
        </w:tc>
        <w:tc>
          <w:tcPr>
            <w:tcW w:w="1493" w:type="dxa"/>
            <w:tcBorders>
              <w:top w:val="nil"/>
              <w:left w:val="nil"/>
              <w:bottom w:val="single" w:sz="4" w:space="0" w:color="auto"/>
              <w:right w:val="single" w:sz="4" w:space="0" w:color="auto"/>
            </w:tcBorders>
            <w:shd w:val="clear" w:color="auto" w:fill="auto"/>
            <w:noWrap/>
            <w:vAlign w:val="bottom"/>
            <w:hideMark/>
          </w:tcPr>
          <w:p w14:paraId="7CAE03C0"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47974607.70</w:t>
            </w:r>
          </w:p>
        </w:tc>
      </w:tr>
      <w:tr w:rsidR="004E7D14" w:rsidRPr="00A94B55" w14:paraId="49F9FA87"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43CCECE9"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99233</w:t>
            </w:r>
          </w:p>
        </w:tc>
        <w:tc>
          <w:tcPr>
            <w:tcW w:w="1615" w:type="dxa"/>
            <w:tcBorders>
              <w:top w:val="nil"/>
              <w:left w:val="nil"/>
              <w:bottom w:val="single" w:sz="4" w:space="0" w:color="auto"/>
              <w:right w:val="single" w:sz="4" w:space="0" w:color="auto"/>
            </w:tcBorders>
            <w:shd w:val="clear" w:color="auto" w:fill="auto"/>
            <w:noWrap/>
            <w:vAlign w:val="bottom"/>
            <w:hideMark/>
          </w:tcPr>
          <w:p w14:paraId="27A96E21"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22561443.00</w:t>
            </w:r>
          </w:p>
        </w:tc>
        <w:tc>
          <w:tcPr>
            <w:tcW w:w="1640" w:type="dxa"/>
            <w:tcBorders>
              <w:top w:val="nil"/>
              <w:left w:val="nil"/>
              <w:bottom w:val="single" w:sz="4" w:space="0" w:color="auto"/>
              <w:right w:val="single" w:sz="4" w:space="0" w:color="auto"/>
            </w:tcBorders>
            <w:shd w:val="clear" w:color="auto" w:fill="auto"/>
            <w:noWrap/>
            <w:vAlign w:val="bottom"/>
            <w:hideMark/>
          </w:tcPr>
          <w:p w14:paraId="5CE6A305"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99233</w:t>
            </w:r>
          </w:p>
        </w:tc>
        <w:tc>
          <w:tcPr>
            <w:tcW w:w="1493" w:type="dxa"/>
            <w:tcBorders>
              <w:top w:val="nil"/>
              <w:left w:val="nil"/>
              <w:bottom w:val="single" w:sz="4" w:space="0" w:color="auto"/>
              <w:right w:val="single" w:sz="4" w:space="0" w:color="auto"/>
            </w:tcBorders>
            <w:shd w:val="clear" w:color="auto" w:fill="auto"/>
            <w:noWrap/>
            <w:vAlign w:val="bottom"/>
            <w:hideMark/>
          </w:tcPr>
          <w:p w14:paraId="1708DC59"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21965658.60</w:t>
            </w:r>
          </w:p>
        </w:tc>
      </w:tr>
      <w:tr w:rsidR="004E7D14" w:rsidRPr="00A94B55" w14:paraId="6F9A8330"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160CEFBA"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99212</w:t>
            </w:r>
          </w:p>
        </w:tc>
        <w:tc>
          <w:tcPr>
            <w:tcW w:w="1615" w:type="dxa"/>
            <w:tcBorders>
              <w:top w:val="nil"/>
              <w:left w:val="nil"/>
              <w:bottom w:val="single" w:sz="4" w:space="0" w:color="auto"/>
              <w:right w:val="single" w:sz="4" w:space="0" w:color="auto"/>
            </w:tcBorders>
            <w:shd w:val="clear" w:color="auto" w:fill="auto"/>
            <w:noWrap/>
            <w:vAlign w:val="bottom"/>
            <w:hideMark/>
          </w:tcPr>
          <w:p w14:paraId="09556E84"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11713275.30</w:t>
            </w:r>
          </w:p>
        </w:tc>
        <w:tc>
          <w:tcPr>
            <w:tcW w:w="1640" w:type="dxa"/>
            <w:tcBorders>
              <w:top w:val="nil"/>
              <w:left w:val="nil"/>
              <w:bottom w:val="single" w:sz="4" w:space="0" w:color="auto"/>
              <w:right w:val="single" w:sz="4" w:space="0" w:color="auto"/>
            </w:tcBorders>
            <w:shd w:val="clear" w:color="auto" w:fill="auto"/>
            <w:noWrap/>
            <w:vAlign w:val="bottom"/>
            <w:hideMark/>
          </w:tcPr>
          <w:p w14:paraId="424145F1"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99212</w:t>
            </w:r>
          </w:p>
        </w:tc>
        <w:tc>
          <w:tcPr>
            <w:tcW w:w="1493" w:type="dxa"/>
            <w:tcBorders>
              <w:top w:val="nil"/>
              <w:left w:val="nil"/>
              <w:bottom w:val="single" w:sz="4" w:space="0" w:color="auto"/>
              <w:right w:val="single" w:sz="4" w:space="0" w:color="auto"/>
            </w:tcBorders>
            <w:shd w:val="clear" w:color="auto" w:fill="auto"/>
            <w:noWrap/>
            <w:vAlign w:val="bottom"/>
            <w:hideMark/>
          </w:tcPr>
          <w:p w14:paraId="5D2500BF"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12833447.10</w:t>
            </w:r>
          </w:p>
        </w:tc>
      </w:tr>
      <w:tr w:rsidR="004E7D14" w:rsidRPr="00A94B55" w14:paraId="3FF2AAD2"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15A7C68B"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99308</w:t>
            </w:r>
          </w:p>
        </w:tc>
        <w:tc>
          <w:tcPr>
            <w:tcW w:w="1615" w:type="dxa"/>
            <w:tcBorders>
              <w:top w:val="nil"/>
              <w:left w:val="nil"/>
              <w:bottom w:val="single" w:sz="4" w:space="0" w:color="auto"/>
              <w:right w:val="single" w:sz="4" w:space="0" w:color="auto"/>
            </w:tcBorders>
            <w:shd w:val="clear" w:color="auto" w:fill="auto"/>
            <w:noWrap/>
            <w:vAlign w:val="bottom"/>
            <w:hideMark/>
          </w:tcPr>
          <w:p w14:paraId="607890F2"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10591861.00</w:t>
            </w:r>
          </w:p>
        </w:tc>
        <w:tc>
          <w:tcPr>
            <w:tcW w:w="1640" w:type="dxa"/>
            <w:tcBorders>
              <w:top w:val="nil"/>
              <w:left w:val="nil"/>
              <w:bottom w:val="single" w:sz="4" w:space="0" w:color="auto"/>
              <w:right w:val="single" w:sz="4" w:space="0" w:color="auto"/>
            </w:tcBorders>
            <w:shd w:val="clear" w:color="auto" w:fill="auto"/>
            <w:noWrap/>
            <w:vAlign w:val="bottom"/>
            <w:hideMark/>
          </w:tcPr>
          <w:p w14:paraId="784DEB03"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99308</w:t>
            </w:r>
          </w:p>
        </w:tc>
        <w:tc>
          <w:tcPr>
            <w:tcW w:w="1493" w:type="dxa"/>
            <w:tcBorders>
              <w:top w:val="nil"/>
              <w:left w:val="nil"/>
              <w:bottom w:val="single" w:sz="4" w:space="0" w:color="auto"/>
              <w:right w:val="single" w:sz="4" w:space="0" w:color="auto"/>
            </w:tcBorders>
            <w:shd w:val="clear" w:color="auto" w:fill="auto"/>
            <w:noWrap/>
            <w:vAlign w:val="bottom"/>
            <w:hideMark/>
          </w:tcPr>
          <w:p w14:paraId="603DDA75"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10640502.70</w:t>
            </w:r>
          </w:p>
        </w:tc>
      </w:tr>
      <w:tr w:rsidR="004E7D14" w:rsidRPr="00A94B55" w14:paraId="7114332C"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5B901ED7"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99203</w:t>
            </w:r>
          </w:p>
        </w:tc>
        <w:tc>
          <w:tcPr>
            <w:tcW w:w="1615" w:type="dxa"/>
            <w:tcBorders>
              <w:top w:val="nil"/>
              <w:left w:val="nil"/>
              <w:bottom w:val="single" w:sz="4" w:space="0" w:color="auto"/>
              <w:right w:val="single" w:sz="4" w:space="0" w:color="auto"/>
            </w:tcBorders>
            <w:shd w:val="clear" w:color="auto" w:fill="auto"/>
            <w:noWrap/>
            <w:vAlign w:val="bottom"/>
            <w:hideMark/>
          </w:tcPr>
          <w:p w14:paraId="42FC152B"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10343285.80</w:t>
            </w:r>
          </w:p>
        </w:tc>
        <w:tc>
          <w:tcPr>
            <w:tcW w:w="1640" w:type="dxa"/>
            <w:tcBorders>
              <w:top w:val="nil"/>
              <w:left w:val="nil"/>
              <w:bottom w:val="single" w:sz="4" w:space="0" w:color="auto"/>
              <w:right w:val="single" w:sz="4" w:space="0" w:color="auto"/>
            </w:tcBorders>
            <w:shd w:val="clear" w:color="auto" w:fill="auto"/>
            <w:noWrap/>
            <w:vAlign w:val="bottom"/>
            <w:hideMark/>
          </w:tcPr>
          <w:p w14:paraId="2A8B353E"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99203</w:t>
            </w:r>
          </w:p>
        </w:tc>
        <w:tc>
          <w:tcPr>
            <w:tcW w:w="1493" w:type="dxa"/>
            <w:tcBorders>
              <w:top w:val="nil"/>
              <w:left w:val="nil"/>
              <w:bottom w:val="single" w:sz="4" w:space="0" w:color="auto"/>
              <w:right w:val="single" w:sz="4" w:space="0" w:color="auto"/>
            </w:tcBorders>
            <w:shd w:val="clear" w:color="auto" w:fill="auto"/>
            <w:noWrap/>
            <w:vAlign w:val="bottom"/>
            <w:hideMark/>
          </w:tcPr>
          <w:p w14:paraId="39865268"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10339198.70</w:t>
            </w:r>
          </w:p>
        </w:tc>
      </w:tr>
      <w:tr w:rsidR="004E7D14" w:rsidRPr="00A94B55" w14:paraId="70404B7D"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2EFC258F"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99204</w:t>
            </w:r>
          </w:p>
        </w:tc>
        <w:tc>
          <w:tcPr>
            <w:tcW w:w="1615" w:type="dxa"/>
            <w:tcBorders>
              <w:top w:val="nil"/>
              <w:left w:val="nil"/>
              <w:bottom w:val="single" w:sz="4" w:space="0" w:color="auto"/>
              <w:right w:val="single" w:sz="4" w:space="0" w:color="auto"/>
            </w:tcBorders>
            <w:shd w:val="clear" w:color="auto" w:fill="auto"/>
            <w:noWrap/>
            <w:vAlign w:val="bottom"/>
            <w:hideMark/>
          </w:tcPr>
          <w:p w14:paraId="1A399B1F"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9325962.00</w:t>
            </w:r>
          </w:p>
        </w:tc>
        <w:tc>
          <w:tcPr>
            <w:tcW w:w="1640" w:type="dxa"/>
            <w:tcBorders>
              <w:top w:val="nil"/>
              <w:left w:val="nil"/>
              <w:bottom w:val="single" w:sz="4" w:space="0" w:color="auto"/>
              <w:right w:val="single" w:sz="4" w:space="0" w:color="auto"/>
            </w:tcBorders>
            <w:shd w:val="clear" w:color="auto" w:fill="auto"/>
            <w:noWrap/>
            <w:vAlign w:val="bottom"/>
            <w:hideMark/>
          </w:tcPr>
          <w:p w14:paraId="465DF8C6"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99204</w:t>
            </w:r>
          </w:p>
        </w:tc>
        <w:tc>
          <w:tcPr>
            <w:tcW w:w="1493" w:type="dxa"/>
            <w:tcBorders>
              <w:top w:val="nil"/>
              <w:left w:val="nil"/>
              <w:bottom w:val="single" w:sz="4" w:space="0" w:color="auto"/>
              <w:right w:val="single" w:sz="4" w:space="0" w:color="auto"/>
            </w:tcBorders>
            <w:shd w:val="clear" w:color="auto" w:fill="auto"/>
            <w:noWrap/>
            <w:vAlign w:val="bottom"/>
            <w:hideMark/>
          </w:tcPr>
          <w:p w14:paraId="1E1D9741"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9163039.10</w:t>
            </w:r>
          </w:p>
        </w:tc>
      </w:tr>
      <w:tr w:rsidR="004E7D14" w:rsidRPr="00A94B55" w14:paraId="73CDE3F0"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6D9CE10F"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99215</w:t>
            </w:r>
          </w:p>
        </w:tc>
        <w:tc>
          <w:tcPr>
            <w:tcW w:w="1615" w:type="dxa"/>
            <w:tcBorders>
              <w:top w:val="nil"/>
              <w:left w:val="nil"/>
              <w:bottom w:val="single" w:sz="4" w:space="0" w:color="auto"/>
              <w:right w:val="single" w:sz="4" w:space="0" w:color="auto"/>
            </w:tcBorders>
            <w:shd w:val="clear" w:color="auto" w:fill="auto"/>
            <w:noWrap/>
            <w:vAlign w:val="bottom"/>
            <w:hideMark/>
          </w:tcPr>
          <w:p w14:paraId="3672F6F5"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9215312.80</w:t>
            </w:r>
          </w:p>
        </w:tc>
        <w:tc>
          <w:tcPr>
            <w:tcW w:w="1640" w:type="dxa"/>
            <w:tcBorders>
              <w:top w:val="nil"/>
              <w:left w:val="nil"/>
              <w:bottom w:val="single" w:sz="4" w:space="0" w:color="auto"/>
              <w:right w:val="single" w:sz="4" w:space="0" w:color="auto"/>
            </w:tcBorders>
            <w:shd w:val="clear" w:color="auto" w:fill="auto"/>
            <w:noWrap/>
            <w:vAlign w:val="bottom"/>
            <w:hideMark/>
          </w:tcPr>
          <w:p w14:paraId="0158A72E"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99215</w:t>
            </w:r>
          </w:p>
        </w:tc>
        <w:tc>
          <w:tcPr>
            <w:tcW w:w="1493" w:type="dxa"/>
            <w:tcBorders>
              <w:top w:val="nil"/>
              <w:left w:val="nil"/>
              <w:bottom w:val="single" w:sz="4" w:space="0" w:color="auto"/>
              <w:right w:val="single" w:sz="4" w:space="0" w:color="auto"/>
            </w:tcBorders>
            <w:shd w:val="clear" w:color="auto" w:fill="auto"/>
            <w:noWrap/>
            <w:vAlign w:val="bottom"/>
            <w:hideMark/>
          </w:tcPr>
          <w:p w14:paraId="41123D7E"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9059238.80</w:t>
            </w:r>
          </w:p>
        </w:tc>
      </w:tr>
      <w:tr w:rsidR="004E7D14" w:rsidRPr="00A94B55" w14:paraId="24E3D59D"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3CAE5956"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99309</w:t>
            </w:r>
          </w:p>
        </w:tc>
        <w:tc>
          <w:tcPr>
            <w:tcW w:w="1615" w:type="dxa"/>
            <w:tcBorders>
              <w:top w:val="nil"/>
              <w:left w:val="nil"/>
              <w:bottom w:val="single" w:sz="4" w:space="0" w:color="auto"/>
              <w:right w:val="single" w:sz="4" w:space="0" w:color="auto"/>
            </w:tcBorders>
            <w:shd w:val="clear" w:color="auto" w:fill="auto"/>
            <w:noWrap/>
            <w:vAlign w:val="bottom"/>
            <w:hideMark/>
          </w:tcPr>
          <w:p w14:paraId="07A6087F"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8970790.10</w:t>
            </w:r>
          </w:p>
        </w:tc>
        <w:tc>
          <w:tcPr>
            <w:tcW w:w="1640" w:type="dxa"/>
            <w:tcBorders>
              <w:top w:val="nil"/>
              <w:left w:val="nil"/>
              <w:bottom w:val="single" w:sz="4" w:space="0" w:color="auto"/>
              <w:right w:val="single" w:sz="4" w:space="0" w:color="auto"/>
            </w:tcBorders>
            <w:shd w:val="clear" w:color="auto" w:fill="auto"/>
            <w:noWrap/>
            <w:vAlign w:val="bottom"/>
            <w:hideMark/>
          </w:tcPr>
          <w:p w14:paraId="36084E5C"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99309</w:t>
            </w:r>
          </w:p>
        </w:tc>
        <w:tc>
          <w:tcPr>
            <w:tcW w:w="1493" w:type="dxa"/>
            <w:tcBorders>
              <w:top w:val="nil"/>
              <w:left w:val="nil"/>
              <w:bottom w:val="single" w:sz="4" w:space="0" w:color="auto"/>
              <w:right w:val="single" w:sz="4" w:space="0" w:color="auto"/>
            </w:tcBorders>
            <w:shd w:val="clear" w:color="auto" w:fill="auto"/>
            <w:noWrap/>
            <w:vAlign w:val="bottom"/>
            <w:hideMark/>
          </w:tcPr>
          <w:p w14:paraId="77B2E40E"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8650501.80</w:t>
            </w:r>
          </w:p>
        </w:tc>
      </w:tr>
      <w:tr w:rsidR="004E7D14" w:rsidRPr="00A94B55" w14:paraId="7F62D075"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5386AA7F"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99231</w:t>
            </w:r>
          </w:p>
        </w:tc>
        <w:tc>
          <w:tcPr>
            <w:tcW w:w="1615" w:type="dxa"/>
            <w:tcBorders>
              <w:top w:val="nil"/>
              <w:left w:val="nil"/>
              <w:bottom w:val="single" w:sz="4" w:space="0" w:color="auto"/>
              <w:right w:val="single" w:sz="4" w:space="0" w:color="auto"/>
            </w:tcBorders>
            <w:shd w:val="clear" w:color="auto" w:fill="auto"/>
            <w:noWrap/>
            <w:vAlign w:val="bottom"/>
            <w:hideMark/>
          </w:tcPr>
          <w:p w14:paraId="7047A865"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7181337.00</w:t>
            </w:r>
          </w:p>
        </w:tc>
        <w:tc>
          <w:tcPr>
            <w:tcW w:w="1640" w:type="dxa"/>
            <w:tcBorders>
              <w:top w:val="nil"/>
              <w:left w:val="nil"/>
              <w:bottom w:val="single" w:sz="4" w:space="0" w:color="auto"/>
              <w:right w:val="single" w:sz="4" w:space="0" w:color="auto"/>
            </w:tcBorders>
            <w:shd w:val="clear" w:color="auto" w:fill="auto"/>
            <w:noWrap/>
            <w:vAlign w:val="bottom"/>
            <w:hideMark/>
          </w:tcPr>
          <w:p w14:paraId="05E445CA"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99231</w:t>
            </w:r>
          </w:p>
        </w:tc>
        <w:tc>
          <w:tcPr>
            <w:tcW w:w="1493" w:type="dxa"/>
            <w:tcBorders>
              <w:top w:val="nil"/>
              <w:left w:val="nil"/>
              <w:bottom w:val="single" w:sz="4" w:space="0" w:color="auto"/>
              <w:right w:val="single" w:sz="4" w:space="0" w:color="auto"/>
            </w:tcBorders>
            <w:shd w:val="clear" w:color="auto" w:fill="auto"/>
            <w:noWrap/>
            <w:vAlign w:val="bottom"/>
            <w:hideMark/>
          </w:tcPr>
          <w:p w14:paraId="21561B52"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7847586.60</w:t>
            </w:r>
          </w:p>
        </w:tc>
      </w:tr>
      <w:tr w:rsidR="004E7D14" w:rsidRPr="00A94B55" w14:paraId="2B8FF246"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0CE41723"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G0439</w:t>
            </w:r>
          </w:p>
        </w:tc>
        <w:tc>
          <w:tcPr>
            <w:tcW w:w="1615" w:type="dxa"/>
            <w:tcBorders>
              <w:top w:val="nil"/>
              <w:left w:val="nil"/>
              <w:bottom w:val="single" w:sz="4" w:space="0" w:color="auto"/>
              <w:right w:val="single" w:sz="4" w:space="0" w:color="auto"/>
            </w:tcBorders>
            <w:shd w:val="clear" w:color="auto" w:fill="auto"/>
            <w:noWrap/>
            <w:vAlign w:val="bottom"/>
            <w:hideMark/>
          </w:tcPr>
          <w:p w14:paraId="25584C4B"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6345786.10</w:t>
            </w:r>
          </w:p>
        </w:tc>
        <w:tc>
          <w:tcPr>
            <w:tcW w:w="1640" w:type="dxa"/>
            <w:tcBorders>
              <w:top w:val="nil"/>
              <w:left w:val="nil"/>
              <w:bottom w:val="single" w:sz="4" w:space="0" w:color="auto"/>
              <w:right w:val="single" w:sz="4" w:space="0" w:color="auto"/>
            </w:tcBorders>
            <w:shd w:val="clear" w:color="auto" w:fill="auto"/>
            <w:noWrap/>
            <w:vAlign w:val="bottom"/>
            <w:hideMark/>
          </w:tcPr>
          <w:p w14:paraId="3A685EA9"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G0439</w:t>
            </w:r>
          </w:p>
        </w:tc>
        <w:tc>
          <w:tcPr>
            <w:tcW w:w="1493" w:type="dxa"/>
            <w:tcBorders>
              <w:top w:val="nil"/>
              <w:left w:val="nil"/>
              <w:bottom w:val="single" w:sz="4" w:space="0" w:color="auto"/>
              <w:right w:val="single" w:sz="4" w:space="0" w:color="auto"/>
            </w:tcBorders>
            <w:shd w:val="clear" w:color="auto" w:fill="auto"/>
            <w:noWrap/>
            <w:vAlign w:val="bottom"/>
            <w:hideMark/>
          </w:tcPr>
          <w:p w14:paraId="51044320"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5293073.20</w:t>
            </w:r>
          </w:p>
        </w:tc>
      </w:tr>
      <w:tr w:rsidR="004E7D14" w:rsidRPr="00A94B55" w14:paraId="04D04ADD"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4C4E447D"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90837</w:t>
            </w:r>
          </w:p>
        </w:tc>
        <w:tc>
          <w:tcPr>
            <w:tcW w:w="1615" w:type="dxa"/>
            <w:tcBorders>
              <w:top w:val="nil"/>
              <w:left w:val="nil"/>
              <w:bottom w:val="single" w:sz="4" w:space="0" w:color="auto"/>
              <w:right w:val="single" w:sz="4" w:space="0" w:color="auto"/>
            </w:tcBorders>
            <w:shd w:val="clear" w:color="auto" w:fill="auto"/>
            <w:noWrap/>
            <w:vAlign w:val="bottom"/>
            <w:hideMark/>
          </w:tcPr>
          <w:p w14:paraId="71A6602D"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3966304.30</w:t>
            </w:r>
          </w:p>
        </w:tc>
        <w:tc>
          <w:tcPr>
            <w:tcW w:w="1640" w:type="dxa"/>
            <w:tcBorders>
              <w:top w:val="nil"/>
              <w:left w:val="nil"/>
              <w:bottom w:val="single" w:sz="4" w:space="0" w:color="auto"/>
              <w:right w:val="single" w:sz="4" w:space="0" w:color="auto"/>
            </w:tcBorders>
            <w:shd w:val="clear" w:color="auto" w:fill="auto"/>
            <w:noWrap/>
            <w:vAlign w:val="bottom"/>
            <w:hideMark/>
          </w:tcPr>
          <w:p w14:paraId="0C62E2AC"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90834</w:t>
            </w:r>
          </w:p>
        </w:tc>
        <w:tc>
          <w:tcPr>
            <w:tcW w:w="1493" w:type="dxa"/>
            <w:tcBorders>
              <w:top w:val="nil"/>
              <w:left w:val="nil"/>
              <w:bottom w:val="single" w:sz="4" w:space="0" w:color="auto"/>
              <w:right w:val="single" w:sz="4" w:space="0" w:color="auto"/>
            </w:tcBorders>
            <w:shd w:val="clear" w:color="auto" w:fill="auto"/>
            <w:noWrap/>
            <w:vAlign w:val="bottom"/>
            <w:hideMark/>
          </w:tcPr>
          <w:p w14:paraId="489E87E5"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4093684.20</w:t>
            </w:r>
          </w:p>
        </w:tc>
      </w:tr>
      <w:tr w:rsidR="004E7D14" w:rsidRPr="00A94B55" w14:paraId="6ABF79F7"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45D4BEA0"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90834</w:t>
            </w:r>
          </w:p>
        </w:tc>
        <w:tc>
          <w:tcPr>
            <w:tcW w:w="1615" w:type="dxa"/>
            <w:tcBorders>
              <w:top w:val="nil"/>
              <w:left w:val="nil"/>
              <w:bottom w:val="single" w:sz="4" w:space="0" w:color="auto"/>
              <w:right w:val="single" w:sz="4" w:space="0" w:color="auto"/>
            </w:tcBorders>
            <w:shd w:val="clear" w:color="auto" w:fill="auto"/>
            <w:noWrap/>
            <w:vAlign w:val="bottom"/>
            <w:hideMark/>
          </w:tcPr>
          <w:p w14:paraId="0DA1DEC3"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3919373.10</w:t>
            </w:r>
          </w:p>
        </w:tc>
        <w:tc>
          <w:tcPr>
            <w:tcW w:w="1640" w:type="dxa"/>
            <w:tcBorders>
              <w:top w:val="nil"/>
              <w:left w:val="nil"/>
              <w:bottom w:val="single" w:sz="4" w:space="0" w:color="auto"/>
              <w:right w:val="single" w:sz="4" w:space="0" w:color="auto"/>
            </w:tcBorders>
            <w:shd w:val="clear" w:color="auto" w:fill="auto"/>
            <w:noWrap/>
            <w:vAlign w:val="bottom"/>
            <w:hideMark/>
          </w:tcPr>
          <w:p w14:paraId="0BB783D0"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99211</w:t>
            </w:r>
          </w:p>
        </w:tc>
        <w:tc>
          <w:tcPr>
            <w:tcW w:w="1493" w:type="dxa"/>
            <w:tcBorders>
              <w:top w:val="nil"/>
              <w:left w:val="nil"/>
              <w:bottom w:val="single" w:sz="4" w:space="0" w:color="auto"/>
              <w:right w:val="single" w:sz="4" w:space="0" w:color="auto"/>
            </w:tcBorders>
            <w:shd w:val="clear" w:color="auto" w:fill="auto"/>
            <w:noWrap/>
            <w:vAlign w:val="bottom"/>
            <w:hideMark/>
          </w:tcPr>
          <w:p w14:paraId="1A488267"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3834516.70</w:t>
            </w:r>
          </w:p>
        </w:tc>
      </w:tr>
      <w:tr w:rsidR="004E7D14" w:rsidRPr="00A94B55" w14:paraId="5E696689"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4EB6DCAF"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99211</w:t>
            </w:r>
          </w:p>
        </w:tc>
        <w:tc>
          <w:tcPr>
            <w:tcW w:w="1615" w:type="dxa"/>
            <w:tcBorders>
              <w:top w:val="nil"/>
              <w:left w:val="nil"/>
              <w:bottom w:val="single" w:sz="4" w:space="0" w:color="auto"/>
              <w:right w:val="single" w:sz="4" w:space="0" w:color="auto"/>
            </w:tcBorders>
            <w:shd w:val="clear" w:color="auto" w:fill="auto"/>
            <w:noWrap/>
            <w:vAlign w:val="bottom"/>
            <w:hideMark/>
          </w:tcPr>
          <w:p w14:paraId="583D0B40"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3338467.70</w:t>
            </w:r>
          </w:p>
        </w:tc>
        <w:tc>
          <w:tcPr>
            <w:tcW w:w="1640" w:type="dxa"/>
            <w:tcBorders>
              <w:top w:val="nil"/>
              <w:left w:val="nil"/>
              <w:bottom w:val="single" w:sz="4" w:space="0" w:color="auto"/>
              <w:right w:val="single" w:sz="4" w:space="0" w:color="auto"/>
            </w:tcBorders>
            <w:shd w:val="clear" w:color="auto" w:fill="auto"/>
            <w:noWrap/>
            <w:vAlign w:val="bottom"/>
            <w:hideMark/>
          </w:tcPr>
          <w:p w14:paraId="57D5B3D3"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90837</w:t>
            </w:r>
          </w:p>
        </w:tc>
        <w:tc>
          <w:tcPr>
            <w:tcW w:w="1493" w:type="dxa"/>
            <w:tcBorders>
              <w:top w:val="nil"/>
              <w:left w:val="nil"/>
              <w:bottom w:val="single" w:sz="4" w:space="0" w:color="auto"/>
              <w:right w:val="single" w:sz="4" w:space="0" w:color="auto"/>
            </w:tcBorders>
            <w:shd w:val="clear" w:color="auto" w:fill="auto"/>
            <w:noWrap/>
            <w:vAlign w:val="bottom"/>
            <w:hideMark/>
          </w:tcPr>
          <w:p w14:paraId="3C6088B5"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3642459.20</w:t>
            </w:r>
          </w:p>
        </w:tc>
      </w:tr>
      <w:tr w:rsidR="004E7D14" w:rsidRPr="00A94B55" w14:paraId="6F4A4DEF"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0C8F8D5C"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99307</w:t>
            </w:r>
          </w:p>
        </w:tc>
        <w:tc>
          <w:tcPr>
            <w:tcW w:w="1615" w:type="dxa"/>
            <w:tcBorders>
              <w:top w:val="nil"/>
              <w:left w:val="nil"/>
              <w:bottom w:val="single" w:sz="4" w:space="0" w:color="auto"/>
              <w:right w:val="single" w:sz="4" w:space="0" w:color="auto"/>
            </w:tcBorders>
            <w:shd w:val="clear" w:color="auto" w:fill="auto"/>
            <w:noWrap/>
            <w:vAlign w:val="bottom"/>
            <w:hideMark/>
          </w:tcPr>
          <w:p w14:paraId="7A2EB200"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2542086.00</w:t>
            </w:r>
          </w:p>
        </w:tc>
        <w:tc>
          <w:tcPr>
            <w:tcW w:w="1640" w:type="dxa"/>
            <w:tcBorders>
              <w:top w:val="nil"/>
              <w:left w:val="nil"/>
              <w:bottom w:val="single" w:sz="4" w:space="0" w:color="auto"/>
              <w:right w:val="single" w:sz="4" w:space="0" w:color="auto"/>
            </w:tcBorders>
            <w:shd w:val="clear" w:color="auto" w:fill="auto"/>
            <w:noWrap/>
            <w:vAlign w:val="bottom"/>
            <w:hideMark/>
          </w:tcPr>
          <w:p w14:paraId="0F18AA4C"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99307</w:t>
            </w:r>
          </w:p>
        </w:tc>
        <w:tc>
          <w:tcPr>
            <w:tcW w:w="1493" w:type="dxa"/>
            <w:tcBorders>
              <w:top w:val="nil"/>
              <w:left w:val="nil"/>
              <w:bottom w:val="single" w:sz="4" w:space="0" w:color="auto"/>
              <w:right w:val="single" w:sz="4" w:space="0" w:color="auto"/>
            </w:tcBorders>
            <w:shd w:val="clear" w:color="auto" w:fill="auto"/>
            <w:noWrap/>
            <w:vAlign w:val="bottom"/>
            <w:hideMark/>
          </w:tcPr>
          <w:p w14:paraId="4049EE5D"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2771038.10</w:t>
            </w:r>
          </w:p>
        </w:tc>
      </w:tr>
      <w:tr w:rsidR="004E7D14" w:rsidRPr="00A94B55" w14:paraId="470453B0"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109CB619"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99205</w:t>
            </w:r>
          </w:p>
        </w:tc>
        <w:tc>
          <w:tcPr>
            <w:tcW w:w="1615" w:type="dxa"/>
            <w:tcBorders>
              <w:top w:val="nil"/>
              <w:left w:val="nil"/>
              <w:bottom w:val="single" w:sz="4" w:space="0" w:color="auto"/>
              <w:right w:val="single" w:sz="4" w:space="0" w:color="auto"/>
            </w:tcBorders>
            <w:shd w:val="clear" w:color="auto" w:fill="auto"/>
            <w:noWrap/>
            <w:vAlign w:val="bottom"/>
            <w:hideMark/>
          </w:tcPr>
          <w:p w14:paraId="6702A2B0"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2423521.00</w:t>
            </w:r>
          </w:p>
        </w:tc>
        <w:tc>
          <w:tcPr>
            <w:tcW w:w="1640" w:type="dxa"/>
            <w:tcBorders>
              <w:top w:val="nil"/>
              <w:left w:val="nil"/>
              <w:bottom w:val="single" w:sz="4" w:space="0" w:color="auto"/>
              <w:right w:val="single" w:sz="4" w:space="0" w:color="auto"/>
            </w:tcBorders>
            <w:shd w:val="clear" w:color="auto" w:fill="auto"/>
            <w:noWrap/>
            <w:vAlign w:val="bottom"/>
            <w:hideMark/>
          </w:tcPr>
          <w:p w14:paraId="7FD2B9B0"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99205</w:t>
            </w:r>
          </w:p>
        </w:tc>
        <w:tc>
          <w:tcPr>
            <w:tcW w:w="1493" w:type="dxa"/>
            <w:tcBorders>
              <w:top w:val="nil"/>
              <w:left w:val="nil"/>
              <w:bottom w:val="single" w:sz="4" w:space="0" w:color="auto"/>
              <w:right w:val="single" w:sz="4" w:space="0" w:color="auto"/>
            </w:tcBorders>
            <w:shd w:val="clear" w:color="auto" w:fill="auto"/>
            <w:noWrap/>
            <w:vAlign w:val="bottom"/>
            <w:hideMark/>
          </w:tcPr>
          <w:p w14:paraId="522A9789"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2477134.50</w:t>
            </w:r>
          </w:p>
        </w:tc>
      </w:tr>
      <w:tr w:rsidR="004E7D14" w:rsidRPr="00A94B55" w14:paraId="6E7EE30D"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0C0B5684"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99202</w:t>
            </w:r>
          </w:p>
        </w:tc>
        <w:tc>
          <w:tcPr>
            <w:tcW w:w="1615" w:type="dxa"/>
            <w:tcBorders>
              <w:top w:val="nil"/>
              <w:left w:val="nil"/>
              <w:bottom w:val="single" w:sz="4" w:space="0" w:color="auto"/>
              <w:right w:val="single" w:sz="4" w:space="0" w:color="auto"/>
            </w:tcBorders>
            <w:shd w:val="clear" w:color="auto" w:fill="auto"/>
            <w:noWrap/>
            <w:vAlign w:val="bottom"/>
            <w:hideMark/>
          </w:tcPr>
          <w:p w14:paraId="2A02B5AF"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2247385.20</w:t>
            </w:r>
          </w:p>
        </w:tc>
        <w:tc>
          <w:tcPr>
            <w:tcW w:w="1640" w:type="dxa"/>
            <w:tcBorders>
              <w:top w:val="nil"/>
              <w:left w:val="nil"/>
              <w:bottom w:val="single" w:sz="4" w:space="0" w:color="auto"/>
              <w:right w:val="single" w:sz="4" w:space="0" w:color="auto"/>
            </w:tcBorders>
            <w:shd w:val="clear" w:color="auto" w:fill="auto"/>
            <w:noWrap/>
            <w:vAlign w:val="bottom"/>
            <w:hideMark/>
          </w:tcPr>
          <w:p w14:paraId="4A2FABB5"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99202</w:t>
            </w:r>
          </w:p>
        </w:tc>
        <w:tc>
          <w:tcPr>
            <w:tcW w:w="1493" w:type="dxa"/>
            <w:tcBorders>
              <w:top w:val="nil"/>
              <w:left w:val="nil"/>
              <w:bottom w:val="single" w:sz="4" w:space="0" w:color="auto"/>
              <w:right w:val="single" w:sz="4" w:space="0" w:color="auto"/>
            </w:tcBorders>
            <w:shd w:val="clear" w:color="auto" w:fill="auto"/>
            <w:noWrap/>
            <w:vAlign w:val="bottom"/>
            <w:hideMark/>
          </w:tcPr>
          <w:p w14:paraId="21DB209D"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2392354.40</w:t>
            </w:r>
          </w:p>
        </w:tc>
      </w:tr>
      <w:tr w:rsidR="004E7D14" w:rsidRPr="00A94B55" w14:paraId="1D9A346E"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14D95686"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90960</w:t>
            </w:r>
          </w:p>
        </w:tc>
        <w:tc>
          <w:tcPr>
            <w:tcW w:w="1615" w:type="dxa"/>
            <w:tcBorders>
              <w:top w:val="nil"/>
              <w:left w:val="nil"/>
              <w:bottom w:val="single" w:sz="4" w:space="0" w:color="auto"/>
              <w:right w:val="single" w:sz="4" w:space="0" w:color="auto"/>
            </w:tcBorders>
            <w:shd w:val="clear" w:color="auto" w:fill="auto"/>
            <w:noWrap/>
            <w:vAlign w:val="bottom"/>
            <w:hideMark/>
          </w:tcPr>
          <w:p w14:paraId="70D8FC43"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2235180.00</w:t>
            </w:r>
          </w:p>
        </w:tc>
        <w:tc>
          <w:tcPr>
            <w:tcW w:w="1640" w:type="dxa"/>
            <w:tcBorders>
              <w:top w:val="nil"/>
              <w:left w:val="nil"/>
              <w:bottom w:val="single" w:sz="4" w:space="0" w:color="auto"/>
              <w:right w:val="single" w:sz="4" w:space="0" w:color="auto"/>
            </w:tcBorders>
            <w:shd w:val="clear" w:color="auto" w:fill="auto"/>
            <w:noWrap/>
            <w:vAlign w:val="bottom"/>
            <w:hideMark/>
          </w:tcPr>
          <w:p w14:paraId="2D4F50DD"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90960</w:t>
            </w:r>
          </w:p>
        </w:tc>
        <w:tc>
          <w:tcPr>
            <w:tcW w:w="1493" w:type="dxa"/>
            <w:tcBorders>
              <w:top w:val="nil"/>
              <w:left w:val="nil"/>
              <w:bottom w:val="single" w:sz="4" w:space="0" w:color="auto"/>
              <w:right w:val="single" w:sz="4" w:space="0" w:color="auto"/>
            </w:tcBorders>
            <w:shd w:val="clear" w:color="auto" w:fill="auto"/>
            <w:noWrap/>
            <w:vAlign w:val="bottom"/>
            <w:hideMark/>
          </w:tcPr>
          <w:p w14:paraId="56DDFF5B"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2242005.10</w:t>
            </w:r>
          </w:p>
        </w:tc>
      </w:tr>
      <w:tr w:rsidR="004E7D14" w:rsidRPr="00A94B55" w14:paraId="60818FE6"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3FDA28CB"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90832</w:t>
            </w:r>
          </w:p>
        </w:tc>
        <w:tc>
          <w:tcPr>
            <w:tcW w:w="1615" w:type="dxa"/>
            <w:tcBorders>
              <w:top w:val="nil"/>
              <w:left w:val="nil"/>
              <w:bottom w:val="single" w:sz="4" w:space="0" w:color="auto"/>
              <w:right w:val="single" w:sz="4" w:space="0" w:color="auto"/>
            </w:tcBorders>
            <w:shd w:val="clear" w:color="auto" w:fill="auto"/>
            <w:noWrap/>
            <w:vAlign w:val="bottom"/>
            <w:hideMark/>
          </w:tcPr>
          <w:p w14:paraId="2F5BBC81"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2203897.70</w:t>
            </w:r>
          </w:p>
        </w:tc>
        <w:tc>
          <w:tcPr>
            <w:tcW w:w="1640" w:type="dxa"/>
            <w:tcBorders>
              <w:top w:val="nil"/>
              <w:left w:val="nil"/>
              <w:bottom w:val="single" w:sz="4" w:space="0" w:color="auto"/>
              <w:right w:val="single" w:sz="4" w:space="0" w:color="auto"/>
            </w:tcBorders>
            <w:shd w:val="clear" w:color="auto" w:fill="auto"/>
            <w:noWrap/>
            <w:vAlign w:val="bottom"/>
            <w:hideMark/>
          </w:tcPr>
          <w:p w14:paraId="65E46693"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90832</w:t>
            </w:r>
          </w:p>
        </w:tc>
        <w:tc>
          <w:tcPr>
            <w:tcW w:w="1493" w:type="dxa"/>
            <w:tcBorders>
              <w:top w:val="nil"/>
              <w:left w:val="nil"/>
              <w:bottom w:val="single" w:sz="4" w:space="0" w:color="auto"/>
              <w:right w:val="single" w:sz="4" w:space="0" w:color="auto"/>
            </w:tcBorders>
            <w:shd w:val="clear" w:color="auto" w:fill="auto"/>
            <w:noWrap/>
            <w:vAlign w:val="bottom"/>
            <w:hideMark/>
          </w:tcPr>
          <w:p w14:paraId="06400161"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2130485.30</w:t>
            </w:r>
          </w:p>
        </w:tc>
      </w:tr>
    </w:tbl>
    <w:p w14:paraId="366FEC7F" w14:textId="77777777" w:rsidR="00795D61" w:rsidRPr="004E7D14" w:rsidRDefault="00795D61" w:rsidP="00217E8D">
      <w:pPr>
        <w:rPr>
          <w:rFonts w:hint="eastAsia"/>
          <w:lang w:val="en-US" w:eastAsia="zh-CN"/>
        </w:rPr>
      </w:pPr>
    </w:p>
    <w:sectPr w:rsidR="00795D61" w:rsidRPr="004E7D1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iu, Bian" w:date="2020-07-16T17:27:00Z" w:initials="LB">
    <w:p w14:paraId="00ED3BF9" w14:textId="73612E2F" w:rsidR="0076617B" w:rsidRDefault="0076617B">
      <w:pPr>
        <w:pStyle w:val="CommentText"/>
      </w:pPr>
      <w:r>
        <w:rPr>
          <w:rStyle w:val="CommentReference"/>
        </w:rPr>
        <w:annotationRef/>
      </w:r>
      <w:r>
        <w:t>Ruya, can you add the three maps for the changes 2017-2016 ?</w:t>
      </w:r>
    </w:p>
  </w:comment>
  <w:comment w:id="2" w:author="Liu, Bian" w:date="2020-07-16T17:31:00Z" w:initials="LB">
    <w:p w14:paraId="4A02E645" w14:textId="2F4DB0CC" w:rsidR="00217E8D" w:rsidRDefault="00217E8D">
      <w:pPr>
        <w:pStyle w:val="CommentText"/>
      </w:pPr>
      <w:r>
        <w:rPr>
          <w:rStyle w:val="CommentReference"/>
        </w:rPr>
        <w:annotationRef/>
      </w:r>
      <w:r>
        <w:t>Ruya, can you create a similar graph, with the two panels for 2016 and 2017?</w:t>
      </w:r>
    </w:p>
    <w:p w14:paraId="528450DC" w14:textId="391EDE17" w:rsidR="000F5C8F" w:rsidRDefault="000F5C8F">
      <w:pPr>
        <w:pStyle w:val="CommentText"/>
      </w:pPr>
    </w:p>
    <w:p w14:paraId="703AEDD9" w14:textId="6C71A11C" w:rsidR="000F5C8F" w:rsidRDefault="000F5C8F">
      <w:pPr>
        <w:pStyle w:val="CommentText"/>
      </w:pPr>
      <w:r>
        <w:t>Could also</w:t>
      </w:r>
      <w:r w:rsidR="004E1028">
        <w:t xml:space="preserve"> change to</w:t>
      </w:r>
      <w:r>
        <w:t xml:space="preserve"> a pie chart, or spider/</w:t>
      </w:r>
      <w:proofErr w:type="spellStart"/>
      <w:r>
        <w:t>windrose</w:t>
      </w:r>
      <w:proofErr w:type="spellEnd"/>
      <w:r>
        <w:t xml:space="preserve"> chart.  </w:t>
      </w:r>
    </w:p>
  </w:comment>
  <w:comment w:id="3" w:author="Liu, Bian" w:date="2020-07-16T17:34:00Z" w:initials="LB">
    <w:p w14:paraId="216E3A94" w14:textId="77777777" w:rsidR="00F2407D" w:rsidRDefault="00F2407D">
      <w:pPr>
        <w:pStyle w:val="CommentText"/>
      </w:pPr>
      <w:r>
        <w:rPr>
          <w:rStyle w:val="CommentReference"/>
        </w:rPr>
        <w:annotationRef/>
      </w:r>
      <w:r>
        <w:t>If the ranking is quite similar between 2016 and 2017, we can just show 2017 only.</w:t>
      </w:r>
    </w:p>
    <w:p w14:paraId="275874CD" w14:textId="251AF283" w:rsidR="004E1028" w:rsidRDefault="004E1028">
      <w:pPr>
        <w:pStyle w:val="CommentText"/>
      </w:pPr>
      <w:r>
        <w:t>Shown in either a table or a figure (bar chart)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ED3BF9" w15:done="0"/>
  <w15:commentEx w15:paraId="703AEDD9" w15:done="0"/>
  <w15:commentEx w15:paraId="275874C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 Bian">
    <w15:presenceInfo w15:providerId="AD" w15:userId="S-1-5-21-1177238915-1035525444-1606980848-173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33B"/>
    <w:rsid w:val="00040BA6"/>
    <w:rsid w:val="0005065B"/>
    <w:rsid w:val="00051DCC"/>
    <w:rsid w:val="000C4746"/>
    <w:rsid w:val="000D712D"/>
    <w:rsid w:val="000F5C8F"/>
    <w:rsid w:val="0010172B"/>
    <w:rsid w:val="001659EB"/>
    <w:rsid w:val="00177227"/>
    <w:rsid w:val="00185C40"/>
    <w:rsid w:val="001C30E7"/>
    <w:rsid w:val="00217E8D"/>
    <w:rsid w:val="002553A1"/>
    <w:rsid w:val="00280EBC"/>
    <w:rsid w:val="002C69FF"/>
    <w:rsid w:val="002E07E8"/>
    <w:rsid w:val="00316C5C"/>
    <w:rsid w:val="003349D9"/>
    <w:rsid w:val="003542BE"/>
    <w:rsid w:val="003B57EA"/>
    <w:rsid w:val="003E39E6"/>
    <w:rsid w:val="003F4E23"/>
    <w:rsid w:val="0046057A"/>
    <w:rsid w:val="004D2173"/>
    <w:rsid w:val="004D4B4B"/>
    <w:rsid w:val="004E1028"/>
    <w:rsid w:val="004E4A53"/>
    <w:rsid w:val="004E7D14"/>
    <w:rsid w:val="005530D1"/>
    <w:rsid w:val="00584E09"/>
    <w:rsid w:val="005D62B7"/>
    <w:rsid w:val="005F3954"/>
    <w:rsid w:val="00642C29"/>
    <w:rsid w:val="006B7D30"/>
    <w:rsid w:val="006D57B5"/>
    <w:rsid w:val="006D68B5"/>
    <w:rsid w:val="0070339D"/>
    <w:rsid w:val="00715498"/>
    <w:rsid w:val="00747389"/>
    <w:rsid w:val="0075263D"/>
    <w:rsid w:val="00760A5F"/>
    <w:rsid w:val="00762B22"/>
    <w:rsid w:val="0076617B"/>
    <w:rsid w:val="00785B7E"/>
    <w:rsid w:val="00795D61"/>
    <w:rsid w:val="007A161B"/>
    <w:rsid w:val="007B42D4"/>
    <w:rsid w:val="007D40CE"/>
    <w:rsid w:val="007E053D"/>
    <w:rsid w:val="007F4F79"/>
    <w:rsid w:val="008201C6"/>
    <w:rsid w:val="0085507E"/>
    <w:rsid w:val="008735BB"/>
    <w:rsid w:val="008B2412"/>
    <w:rsid w:val="008F5DE5"/>
    <w:rsid w:val="0092577D"/>
    <w:rsid w:val="00935278"/>
    <w:rsid w:val="009E1C24"/>
    <w:rsid w:val="009F7278"/>
    <w:rsid w:val="00A350B6"/>
    <w:rsid w:val="00A94B55"/>
    <w:rsid w:val="00AB0A82"/>
    <w:rsid w:val="00B34BE7"/>
    <w:rsid w:val="00B7088E"/>
    <w:rsid w:val="00B84E31"/>
    <w:rsid w:val="00BC364B"/>
    <w:rsid w:val="00C505F3"/>
    <w:rsid w:val="00C64AC7"/>
    <w:rsid w:val="00C83B1C"/>
    <w:rsid w:val="00CC605B"/>
    <w:rsid w:val="00D01DDC"/>
    <w:rsid w:val="00D0633B"/>
    <w:rsid w:val="00D14B60"/>
    <w:rsid w:val="00D3026C"/>
    <w:rsid w:val="00D816DF"/>
    <w:rsid w:val="00DA2560"/>
    <w:rsid w:val="00E126AB"/>
    <w:rsid w:val="00E41E61"/>
    <w:rsid w:val="00E96EE0"/>
    <w:rsid w:val="00EA7734"/>
    <w:rsid w:val="00EC4FC6"/>
    <w:rsid w:val="00F2407D"/>
    <w:rsid w:val="00F50DFE"/>
    <w:rsid w:val="00F661A5"/>
    <w:rsid w:val="00F6689A"/>
    <w:rsid w:val="00F85D5C"/>
    <w:rsid w:val="00FC687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C1DA4"/>
  <w15:docId w15:val="{2EEE79C0-218F-4F0A-BA84-4A313A926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3E39E6"/>
    <w:rPr>
      <w:sz w:val="16"/>
      <w:szCs w:val="16"/>
    </w:rPr>
  </w:style>
  <w:style w:type="paragraph" w:styleId="CommentText">
    <w:name w:val="annotation text"/>
    <w:basedOn w:val="Normal"/>
    <w:link w:val="CommentTextChar"/>
    <w:uiPriority w:val="99"/>
    <w:semiHidden/>
    <w:unhideWhenUsed/>
    <w:rsid w:val="003E39E6"/>
    <w:pPr>
      <w:spacing w:line="240" w:lineRule="auto"/>
    </w:pPr>
    <w:rPr>
      <w:sz w:val="20"/>
      <w:szCs w:val="20"/>
    </w:rPr>
  </w:style>
  <w:style w:type="character" w:customStyle="1" w:styleId="CommentTextChar">
    <w:name w:val="Comment Text Char"/>
    <w:basedOn w:val="DefaultParagraphFont"/>
    <w:link w:val="CommentText"/>
    <w:uiPriority w:val="99"/>
    <w:semiHidden/>
    <w:rsid w:val="003E39E6"/>
    <w:rPr>
      <w:sz w:val="20"/>
      <w:szCs w:val="20"/>
    </w:rPr>
  </w:style>
  <w:style w:type="paragraph" w:styleId="CommentSubject">
    <w:name w:val="annotation subject"/>
    <w:basedOn w:val="CommentText"/>
    <w:next w:val="CommentText"/>
    <w:link w:val="CommentSubjectChar"/>
    <w:uiPriority w:val="99"/>
    <w:semiHidden/>
    <w:unhideWhenUsed/>
    <w:rsid w:val="003E39E6"/>
    <w:rPr>
      <w:b/>
      <w:bCs/>
    </w:rPr>
  </w:style>
  <w:style w:type="character" w:customStyle="1" w:styleId="CommentSubjectChar">
    <w:name w:val="Comment Subject Char"/>
    <w:basedOn w:val="CommentTextChar"/>
    <w:link w:val="CommentSubject"/>
    <w:uiPriority w:val="99"/>
    <w:semiHidden/>
    <w:rsid w:val="003E39E6"/>
    <w:rPr>
      <w:b/>
      <w:bCs/>
      <w:sz w:val="20"/>
      <w:szCs w:val="20"/>
    </w:rPr>
  </w:style>
  <w:style w:type="paragraph" w:styleId="BalloonText">
    <w:name w:val="Balloon Text"/>
    <w:basedOn w:val="Normal"/>
    <w:link w:val="BalloonTextChar"/>
    <w:uiPriority w:val="99"/>
    <w:semiHidden/>
    <w:unhideWhenUsed/>
    <w:rsid w:val="003E39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39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944101">
      <w:bodyDiv w:val="1"/>
      <w:marLeft w:val="0"/>
      <w:marRight w:val="0"/>
      <w:marTop w:val="0"/>
      <w:marBottom w:val="0"/>
      <w:divBdr>
        <w:top w:val="none" w:sz="0" w:space="0" w:color="auto"/>
        <w:left w:val="none" w:sz="0" w:space="0" w:color="auto"/>
        <w:bottom w:val="none" w:sz="0" w:space="0" w:color="auto"/>
        <w:right w:val="none" w:sz="0" w:space="0" w:color="auto"/>
      </w:divBdr>
    </w:div>
    <w:div w:id="351226164">
      <w:bodyDiv w:val="1"/>
      <w:marLeft w:val="0"/>
      <w:marRight w:val="0"/>
      <w:marTop w:val="0"/>
      <w:marBottom w:val="0"/>
      <w:divBdr>
        <w:top w:val="none" w:sz="0" w:space="0" w:color="auto"/>
        <w:left w:val="none" w:sz="0" w:space="0" w:color="auto"/>
        <w:bottom w:val="none" w:sz="0" w:space="0" w:color="auto"/>
        <w:right w:val="none" w:sz="0" w:space="0" w:color="auto"/>
      </w:divBdr>
    </w:div>
    <w:div w:id="609288650">
      <w:bodyDiv w:val="1"/>
      <w:marLeft w:val="0"/>
      <w:marRight w:val="0"/>
      <w:marTop w:val="0"/>
      <w:marBottom w:val="0"/>
      <w:divBdr>
        <w:top w:val="none" w:sz="0" w:space="0" w:color="auto"/>
        <w:left w:val="none" w:sz="0" w:space="0" w:color="auto"/>
        <w:bottom w:val="none" w:sz="0" w:space="0" w:color="auto"/>
        <w:right w:val="none" w:sz="0" w:space="0" w:color="auto"/>
      </w:divBdr>
    </w:div>
    <w:div w:id="611860711">
      <w:bodyDiv w:val="1"/>
      <w:marLeft w:val="0"/>
      <w:marRight w:val="0"/>
      <w:marTop w:val="0"/>
      <w:marBottom w:val="0"/>
      <w:divBdr>
        <w:top w:val="none" w:sz="0" w:space="0" w:color="auto"/>
        <w:left w:val="none" w:sz="0" w:space="0" w:color="auto"/>
        <w:bottom w:val="none" w:sz="0" w:space="0" w:color="auto"/>
        <w:right w:val="none" w:sz="0" w:space="0" w:color="auto"/>
      </w:divBdr>
    </w:div>
    <w:div w:id="1571230784">
      <w:bodyDiv w:val="1"/>
      <w:marLeft w:val="0"/>
      <w:marRight w:val="0"/>
      <w:marTop w:val="0"/>
      <w:marBottom w:val="0"/>
      <w:divBdr>
        <w:top w:val="none" w:sz="0" w:space="0" w:color="auto"/>
        <w:left w:val="none" w:sz="0" w:space="0" w:color="auto"/>
        <w:bottom w:val="none" w:sz="0" w:space="0" w:color="auto"/>
        <w:right w:val="none" w:sz="0" w:space="0" w:color="auto"/>
      </w:divBdr>
    </w:div>
    <w:div w:id="190201738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2.png"/><Relationship Id="rId9" Type="http://schemas.openxmlformats.org/officeDocument/2006/relationships/image" Target="media/image3.tiff"/><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Top</a:t>
            </a:r>
            <a:r>
              <a:rPr lang="zh-CN" altLang="en-US"/>
              <a:t> </a:t>
            </a:r>
            <a:r>
              <a:rPr lang="en-US" altLang="zh-CN"/>
              <a:t>10</a:t>
            </a:r>
            <a:r>
              <a:rPr lang="zh-CN" altLang="en-US" baseline="0"/>
              <a:t> </a:t>
            </a:r>
            <a:r>
              <a:rPr lang="en-US" altLang="zh-CN" baseline="0"/>
              <a:t>Specialties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2017</c:v>
                </c:pt>
              </c:strCache>
            </c:strRef>
          </c:tx>
          <c:spPr>
            <a:solidFill>
              <a:schemeClr val="accent1"/>
            </a:solidFill>
            <a:ln>
              <a:noFill/>
            </a:ln>
            <a:effectLst/>
          </c:spPr>
          <c:invertIfNegative val="0"/>
          <c:cat>
            <c:strRef>
              <c:f>Sheet1!$A$2:$A$11</c:f>
              <c:strCache>
                <c:ptCount val="10"/>
                <c:pt idx="0">
                  <c:v>Nurse Practitioner</c:v>
                </c:pt>
                <c:pt idx="1">
                  <c:v>Internal Medicine</c:v>
                </c:pt>
                <c:pt idx="2">
                  <c:v>Family Practice</c:v>
                </c:pt>
                <c:pt idx="3">
                  <c:v>Physician Assistant</c:v>
                </c:pt>
                <c:pt idx="4">
                  <c:v>Psychiatry</c:v>
                </c:pt>
                <c:pt idx="5">
                  <c:v>Orthopedic Surgery</c:v>
                </c:pt>
                <c:pt idx="6">
                  <c:v>Cardiology</c:v>
                </c:pt>
                <c:pt idx="7">
                  <c:v>Optometry</c:v>
                </c:pt>
                <c:pt idx="8">
                  <c:v>Obstetrics &amp; Gynecology</c:v>
                </c:pt>
                <c:pt idx="9">
                  <c:v>General Surgery</c:v>
                </c:pt>
              </c:strCache>
            </c:strRef>
          </c:cat>
          <c:val>
            <c:numRef>
              <c:f>Sheet1!$B$2:$B$11</c:f>
              <c:numCache>
                <c:formatCode>General</c:formatCode>
                <c:ptCount val="10"/>
                <c:pt idx="0">
                  <c:v>90339.0</c:v>
                </c:pt>
                <c:pt idx="1">
                  <c:v>90019.0</c:v>
                </c:pt>
                <c:pt idx="2">
                  <c:v>75961.0</c:v>
                </c:pt>
                <c:pt idx="3">
                  <c:v>48313.0</c:v>
                </c:pt>
                <c:pt idx="4">
                  <c:v>20758.0</c:v>
                </c:pt>
                <c:pt idx="5">
                  <c:v>20451.0</c:v>
                </c:pt>
                <c:pt idx="6">
                  <c:v>19477.0</c:v>
                </c:pt>
                <c:pt idx="7">
                  <c:v>19288.0</c:v>
                </c:pt>
                <c:pt idx="8">
                  <c:v>19045.0</c:v>
                </c:pt>
                <c:pt idx="9">
                  <c:v>18234.0</c:v>
                </c:pt>
              </c:numCache>
            </c:numRef>
          </c:val>
        </c:ser>
        <c:ser>
          <c:idx val="2"/>
          <c:order val="2"/>
          <c:tx>
            <c:strRef>
              <c:f>Sheet1!$D$1</c:f>
              <c:strCache>
                <c:ptCount val="1"/>
                <c:pt idx="0">
                  <c:v>ProviderType</c:v>
                </c:pt>
              </c:strCache>
            </c:strRef>
          </c:tx>
          <c:spPr>
            <a:solidFill>
              <a:schemeClr val="accent3"/>
            </a:solidFill>
            <a:ln>
              <a:noFill/>
            </a:ln>
            <a:effectLst/>
          </c:spPr>
          <c:invertIfNegative val="0"/>
          <c:cat>
            <c:strRef>
              <c:f>Sheet1!$A$2:$A$11</c:f>
              <c:strCache>
                <c:ptCount val="10"/>
                <c:pt idx="0">
                  <c:v>Nurse Practitioner</c:v>
                </c:pt>
                <c:pt idx="1">
                  <c:v>Internal Medicine</c:v>
                </c:pt>
                <c:pt idx="2">
                  <c:v>Family Practice</c:v>
                </c:pt>
                <c:pt idx="3">
                  <c:v>Physician Assistant</c:v>
                </c:pt>
                <c:pt idx="4">
                  <c:v>Psychiatry</c:v>
                </c:pt>
                <c:pt idx="5">
                  <c:v>Orthopedic Surgery</c:v>
                </c:pt>
                <c:pt idx="6">
                  <c:v>Cardiology</c:v>
                </c:pt>
                <c:pt idx="7">
                  <c:v>Optometry</c:v>
                </c:pt>
                <c:pt idx="8">
                  <c:v>Obstetrics &amp; Gynecology</c:v>
                </c:pt>
                <c:pt idx="9">
                  <c:v>General Surgery</c:v>
                </c:pt>
              </c:strCache>
            </c:strRef>
          </c:cat>
          <c:val>
            <c:numRef>
              <c:f>Sheet1!$D$2:$D$11</c:f>
              <c:numCache>
                <c:formatCode>General</c:formatCode>
                <c:ptCount val="10"/>
                <c:pt idx="0">
                  <c:v>0.0</c:v>
                </c:pt>
                <c:pt idx="1">
                  <c:v>0.0</c:v>
                </c:pt>
                <c:pt idx="2">
                  <c:v>0.0</c:v>
                </c:pt>
                <c:pt idx="3">
                  <c:v>0.0</c:v>
                </c:pt>
                <c:pt idx="4">
                  <c:v>0.0</c:v>
                </c:pt>
                <c:pt idx="5">
                  <c:v>0.0</c:v>
                </c:pt>
                <c:pt idx="6">
                  <c:v>0.0</c:v>
                </c:pt>
                <c:pt idx="7">
                  <c:v>0.0</c:v>
                </c:pt>
                <c:pt idx="8">
                  <c:v>0.0</c:v>
                </c:pt>
                <c:pt idx="9">
                  <c:v>0.0</c:v>
                </c:pt>
              </c:numCache>
            </c:numRef>
          </c:val>
        </c:ser>
        <c:ser>
          <c:idx val="3"/>
          <c:order val="3"/>
          <c:tx>
            <c:strRef>
              <c:f>Sheet1!$E$1</c:f>
              <c:strCache>
                <c:ptCount val="1"/>
                <c:pt idx="0">
                  <c:v>2016</c:v>
                </c:pt>
              </c:strCache>
            </c:strRef>
          </c:tx>
          <c:spPr>
            <a:solidFill>
              <a:schemeClr val="accent4"/>
            </a:solidFill>
            <a:ln>
              <a:noFill/>
            </a:ln>
            <a:effectLst/>
          </c:spPr>
          <c:invertIfNegative val="0"/>
          <c:cat>
            <c:strRef>
              <c:f>Sheet1!$A$2:$A$11</c:f>
              <c:strCache>
                <c:ptCount val="10"/>
                <c:pt idx="0">
                  <c:v>Nurse Practitioner</c:v>
                </c:pt>
                <c:pt idx="1">
                  <c:v>Internal Medicine</c:v>
                </c:pt>
                <c:pt idx="2">
                  <c:v>Family Practice</c:v>
                </c:pt>
                <c:pt idx="3">
                  <c:v>Physician Assistant</c:v>
                </c:pt>
                <c:pt idx="4">
                  <c:v>Psychiatry</c:v>
                </c:pt>
                <c:pt idx="5">
                  <c:v>Orthopedic Surgery</c:v>
                </c:pt>
                <c:pt idx="6">
                  <c:v>Cardiology</c:v>
                </c:pt>
                <c:pt idx="7">
                  <c:v>Optometry</c:v>
                </c:pt>
                <c:pt idx="8">
                  <c:v>Obstetrics &amp; Gynecology</c:v>
                </c:pt>
                <c:pt idx="9">
                  <c:v>General Surgery</c:v>
                </c:pt>
              </c:strCache>
            </c:strRef>
          </c:cat>
          <c:val>
            <c:numRef>
              <c:f>Sheet1!$E$2:$E$11</c:f>
              <c:numCache>
                <c:formatCode>General</c:formatCode>
                <c:ptCount val="10"/>
                <c:pt idx="0">
                  <c:v>93099.0</c:v>
                </c:pt>
                <c:pt idx="1">
                  <c:v>78671.0</c:v>
                </c:pt>
                <c:pt idx="2">
                  <c:v>75930.0</c:v>
                </c:pt>
                <c:pt idx="3">
                  <c:v>43766.0</c:v>
                </c:pt>
                <c:pt idx="4">
                  <c:v>20999.0</c:v>
                </c:pt>
                <c:pt idx="5">
                  <c:v>20347.0</c:v>
                </c:pt>
                <c:pt idx="6">
                  <c:v>19598.0</c:v>
                </c:pt>
                <c:pt idx="7">
                  <c:v>19534.0</c:v>
                </c:pt>
                <c:pt idx="8">
                  <c:v>18979.0</c:v>
                </c:pt>
                <c:pt idx="9">
                  <c:v>18148.0</c:v>
                </c:pt>
              </c:numCache>
            </c:numRef>
          </c:val>
        </c:ser>
        <c:dLbls>
          <c:showLegendKey val="0"/>
          <c:showVal val="0"/>
          <c:showCatName val="0"/>
          <c:showSerName val="0"/>
          <c:showPercent val="0"/>
          <c:showBubbleSize val="0"/>
        </c:dLbls>
        <c:gapWidth val="182"/>
        <c:axId val="1737878272"/>
        <c:axId val="1741110400"/>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strCache>
                  </c:strRef>
                </c:tx>
                <c:spPr>
                  <a:solidFill>
                    <a:schemeClr val="accent2"/>
                  </a:solidFill>
                  <a:ln>
                    <a:noFill/>
                  </a:ln>
                  <a:effectLst/>
                </c:spPr>
                <c:invertIfNegative val="0"/>
                <c:cat>
                  <c:strRef>
                    <c:extLst>
                      <c:ext uri="{02D57815-91ED-43cb-92C2-25804820EDAC}">
                        <c15:formulaRef>
                          <c15:sqref>Sheet1!$A$2:$A$11</c15:sqref>
                        </c15:formulaRef>
                      </c:ext>
                    </c:extLst>
                    <c:strCache>
                      <c:ptCount val="10"/>
                      <c:pt idx="0">
                        <c:v>Nurse Practitioner</c:v>
                      </c:pt>
                      <c:pt idx="1">
                        <c:v>Internal Medicine</c:v>
                      </c:pt>
                      <c:pt idx="2">
                        <c:v>Family Practice</c:v>
                      </c:pt>
                      <c:pt idx="3">
                        <c:v>Physician Assistant</c:v>
                      </c:pt>
                      <c:pt idx="4">
                        <c:v>Psychiatry</c:v>
                      </c:pt>
                      <c:pt idx="5">
                        <c:v>Orthopedic Surgery</c:v>
                      </c:pt>
                      <c:pt idx="6">
                        <c:v>Cardiology</c:v>
                      </c:pt>
                      <c:pt idx="7">
                        <c:v>Optometry</c:v>
                      </c:pt>
                      <c:pt idx="8">
                        <c:v>Obstetrics &amp; Gynecology</c:v>
                      </c:pt>
                      <c:pt idx="9">
                        <c:v>General Surgery</c:v>
                      </c:pt>
                    </c:strCache>
                  </c:strRef>
                </c:cat>
                <c:val>
                  <c:numRef>
                    <c:extLst>
                      <c:ext uri="{02D57815-91ED-43cb-92C2-25804820EDAC}">
                        <c15:formulaRef>
                          <c15:sqref>Sheet1!$C$2:$C$11</c15:sqref>
                        </c15:formulaRef>
                      </c:ext>
                    </c:extLst>
                    <c:numCache>
                      <c:formatCode>General</c:formatCode>
                      <c:ptCount val="10"/>
                    </c:numCache>
                  </c:numRef>
                </c:val>
              </c15:ser>
            </c15:filteredBarSeries>
          </c:ext>
        </c:extLst>
      </c:barChart>
      <c:catAx>
        <c:axId val="17378782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1110400"/>
        <c:crosses val="autoZero"/>
        <c:auto val="1"/>
        <c:lblAlgn val="ctr"/>
        <c:lblOffset val="100"/>
        <c:noMultiLvlLbl val="0"/>
      </c:catAx>
      <c:valAx>
        <c:axId val="17411104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7878272"/>
        <c:crosses val="autoZero"/>
        <c:crossBetween val="between"/>
      </c:valAx>
      <c:spPr>
        <a:noFill/>
        <a:ln>
          <a:noFill/>
        </a:ln>
        <a:effectLst/>
      </c:spPr>
    </c:plotArea>
    <c:legend>
      <c:legendPos val="b"/>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EB780-1569-0847-A6E2-2065D8FEE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7</Pages>
  <Words>1174</Words>
  <Characters>6698</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The Mount Sinai Health System</Company>
  <LinksUpToDate>false</LinksUpToDate>
  <CharactersWithSpaces>7857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Bian</dc:creator>
  <cp:lastModifiedBy>nancyruya@gmail.com</cp:lastModifiedBy>
  <cp:revision>60</cp:revision>
  <dcterms:created xsi:type="dcterms:W3CDTF">2020-07-14T17:58:00Z</dcterms:created>
  <dcterms:modified xsi:type="dcterms:W3CDTF">2020-07-19T20:29:00Z</dcterms:modified>
</cp:coreProperties>
</file>