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761" w:rsidRDefault="00B7027B" w:rsidP="00B7027B">
      <w:pPr>
        <w:jc w:val="center"/>
        <w:rPr>
          <w:b/>
          <w:u w:val="single"/>
        </w:rPr>
      </w:pPr>
      <w:bookmarkStart w:id="0" w:name="_GoBack"/>
      <w:bookmarkEnd w:id="0"/>
      <w:r>
        <w:rPr>
          <w:b/>
          <w:u w:val="single"/>
        </w:rPr>
        <w:t>Supplementary Material 1: Seeding details</w:t>
      </w:r>
    </w:p>
    <w:p w:rsidR="00B7027B" w:rsidRDefault="00B7027B" w:rsidP="00B7027B">
      <w:pPr>
        <w:rPr>
          <w:rFonts w:cs="Arial"/>
          <w:szCs w:val="20"/>
        </w:rPr>
      </w:pPr>
      <w:r>
        <w:rPr>
          <w:rFonts w:cs="Arial"/>
          <w:szCs w:val="20"/>
        </w:rPr>
        <w:t xml:space="preserve">Table 1. Perennial plant species and their respective seed numbers used in the plots in the </w:t>
      </w:r>
      <w:proofErr w:type="spellStart"/>
      <w:r>
        <w:rPr>
          <w:rFonts w:cs="Arial"/>
          <w:szCs w:val="20"/>
        </w:rPr>
        <w:t>hardeveld</w:t>
      </w:r>
      <w:proofErr w:type="spellEnd"/>
      <w:r>
        <w:rPr>
          <w:rFonts w:cs="Arial"/>
          <w:szCs w:val="20"/>
        </w:rPr>
        <w:t xml:space="preserve"> factorial experiment in Namaqualand. Plant functional groups: ESM = early succession </w:t>
      </w:r>
      <w:proofErr w:type="spellStart"/>
      <w:r>
        <w:rPr>
          <w:rFonts w:cs="Arial"/>
          <w:szCs w:val="20"/>
        </w:rPr>
        <w:t>Mesembryanthemaceae</w:t>
      </w:r>
      <w:proofErr w:type="spellEnd"/>
      <w:r>
        <w:rPr>
          <w:rFonts w:cs="Arial"/>
          <w:szCs w:val="20"/>
        </w:rPr>
        <w:t xml:space="preserve"> (CAM leaf-succulent in the </w:t>
      </w:r>
      <w:proofErr w:type="spellStart"/>
      <w:r>
        <w:rPr>
          <w:rFonts w:cs="Arial"/>
          <w:szCs w:val="20"/>
        </w:rPr>
        <w:t>Aizoaceae</w:t>
      </w:r>
      <w:proofErr w:type="spellEnd"/>
      <w:r>
        <w:rPr>
          <w:rFonts w:cs="Arial"/>
          <w:szCs w:val="20"/>
        </w:rPr>
        <w:t xml:space="preserve"> sub-family), EM = erect </w:t>
      </w:r>
      <w:proofErr w:type="spellStart"/>
      <w:r>
        <w:rPr>
          <w:rFonts w:cs="Arial"/>
          <w:szCs w:val="20"/>
        </w:rPr>
        <w:t>Mesembryanthemaceae</w:t>
      </w:r>
      <w:proofErr w:type="spellEnd"/>
      <w:r>
        <w:rPr>
          <w:rFonts w:cs="Arial"/>
          <w:szCs w:val="20"/>
        </w:rPr>
        <w:t xml:space="preserve">, PM = prostrate </w:t>
      </w:r>
      <w:proofErr w:type="spellStart"/>
      <w:r>
        <w:rPr>
          <w:rFonts w:cs="Arial"/>
          <w:szCs w:val="20"/>
        </w:rPr>
        <w:t>Mesembryanthemaceae</w:t>
      </w:r>
      <w:proofErr w:type="spellEnd"/>
      <w:r>
        <w:rPr>
          <w:rFonts w:cs="Arial"/>
          <w:szCs w:val="20"/>
        </w:rPr>
        <w:t>, PH = perennial herb, PG = perennial graminoid, WS = woody shrub, LWS = large woody shrub</w:t>
      </w:r>
      <w:r w:rsidR="007E2E6D">
        <w:rPr>
          <w:rFonts w:cs="Arial"/>
          <w:szCs w:val="20"/>
        </w:rPr>
        <w:t xml:space="preserve"> </w:t>
      </w:r>
      <w:r w:rsidR="007E2E6D" w:rsidRPr="00B66BDF">
        <w:rPr>
          <w:rFonts w:cs="Arial"/>
          <w:b/>
          <w:color w:val="FF0000"/>
          <w:szCs w:val="20"/>
        </w:rPr>
        <w:t>(TR)</w:t>
      </w:r>
    </w:p>
    <w:tbl>
      <w:tblPr>
        <w:tblW w:w="9417" w:type="dxa"/>
        <w:tblLook w:val="04A0" w:firstRow="1" w:lastRow="0" w:firstColumn="1" w:lastColumn="0" w:noHBand="0" w:noVBand="1"/>
      </w:tblPr>
      <w:tblGrid>
        <w:gridCol w:w="1780"/>
        <w:gridCol w:w="3683"/>
        <w:gridCol w:w="1517"/>
        <w:gridCol w:w="2437"/>
      </w:tblGrid>
      <w:tr w:rsidR="00B7027B" w:rsidTr="00B7027B">
        <w:trPr>
          <w:trHeight w:val="527"/>
        </w:trPr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>Family</w:t>
            </w:r>
          </w:p>
        </w:tc>
        <w:tc>
          <w:tcPr>
            <w:tcW w:w="36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>Species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>Seeds per plot</w:t>
            </w:r>
          </w:p>
        </w:tc>
        <w:tc>
          <w:tcPr>
            <w:tcW w:w="2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 xml:space="preserve">Plant functional group </w:t>
            </w:r>
          </w:p>
        </w:tc>
      </w:tr>
      <w:tr w:rsidR="00B7027B" w:rsidTr="00B7027B">
        <w:trPr>
          <w:trHeight w:val="407"/>
        </w:trPr>
        <w:tc>
          <w:tcPr>
            <w:tcW w:w="1780" w:type="dxa"/>
            <w:vAlign w:val="bottom"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  <w:tc>
          <w:tcPr>
            <w:tcW w:w="3683" w:type="dxa"/>
            <w:noWrap/>
            <w:vAlign w:val="bottom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>Small seeds</w:t>
            </w:r>
          </w:p>
        </w:tc>
        <w:tc>
          <w:tcPr>
            <w:tcW w:w="1517" w:type="dxa"/>
            <w:noWrap/>
            <w:vAlign w:val="bottom"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  <w:tc>
          <w:tcPr>
            <w:tcW w:w="2437" w:type="dxa"/>
            <w:vAlign w:val="bottom"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Conicosia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elongata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23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ESM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Drosanthemum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hispidum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365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ESM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Molluginaceae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Hypertelis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salsoloides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75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PH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Galenia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sarcophylla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45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PH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Aizoon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canariense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75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PH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Leipoldtia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schultzei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365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EM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Ruschia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sp.</w:t>
            </w:r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180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EM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Cheiridopsis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denticulata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180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PM</w:t>
            </w:r>
          </w:p>
        </w:tc>
      </w:tr>
      <w:tr w:rsidR="00B7027B" w:rsidTr="00B7027B">
        <w:trPr>
          <w:trHeight w:val="200"/>
        </w:trPr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 xml:space="preserve">Total 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>1308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</w:tr>
      <w:tr w:rsidR="00B7027B" w:rsidTr="00B7027B">
        <w:trPr>
          <w:trHeight w:val="492"/>
        </w:trPr>
        <w:tc>
          <w:tcPr>
            <w:tcW w:w="1780" w:type="dxa"/>
            <w:vAlign w:val="bottom"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  <w:tc>
          <w:tcPr>
            <w:tcW w:w="3683" w:type="dxa"/>
            <w:noWrap/>
            <w:vAlign w:val="bottom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>Large seeds</w:t>
            </w:r>
          </w:p>
        </w:tc>
        <w:tc>
          <w:tcPr>
            <w:tcW w:w="1517" w:type="dxa"/>
            <w:noWrap/>
            <w:vAlign w:val="bottom"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  <w:tc>
          <w:tcPr>
            <w:tcW w:w="2437" w:type="dxa"/>
            <w:vAlign w:val="bottom"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Poaceae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Stipagrostis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ciliata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30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PG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Poaceae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Chaetobromus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involucratus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440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PG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Eriocephalus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microphyllus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55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Sterculiaceae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Hermannia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disermifolia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40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Hipicium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alienatum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25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Tripteris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oppistifolia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18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Pteronia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divaricata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55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Tetragonia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fruticosa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18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Pentzia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incana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75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Fabaceae</w:t>
            </w:r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Lebeckia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sericea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55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LWS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Chenopiaceae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Manochlamys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albicans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320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LWS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Zygophyllaceae</w:t>
            </w:r>
            <w:proofErr w:type="spellEnd"/>
          </w:p>
        </w:tc>
        <w:tc>
          <w:tcPr>
            <w:tcW w:w="368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Zygophyllum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morgsana</w:t>
            </w:r>
            <w:proofErr w:type="spellEnd"/>
          </w:p>
        </w:tc>
        <w:tc>
          <w:tcPr>
            <w:tcW w:w="1517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18</w:t>
            </w:r>
          </w:p>
        </w:tc>
        <w:tc>
          <w:tcPr>
            <w:tcW w:w="2437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LWS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  <w:tc>
          <w:tcPr>
            <w:tcW w:w="36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 xml:space="preserve">Total 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b/>
                <w:bCs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bCs/>
                <w:sz w:val="16"/>
                <w:szCs w:val="16"/>
                <w:lang w:eastAsia="en-ZA"/>
              </w:rPr>
              <w:t>1149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</w:tr>
    </w:tbl>
    <w:p w:rsidR="00B7027B" w:rsidRDefault="00B7027B" w:rsidP="00B7027B">
      <w:pPr>
        <w:spacing w:line="360" w:lineRule="auto"/>
        <w:rPr>
          <w:rFonts w:ascii="Arial" w:eastAsiaTheme="minorEastAsia" w:hAnsi="Arial" w:cs="Arial"/>
          <w:sz w:val="20"/>
          <w:szCs w:val="20"/>
          <w:lang w:val="en-ZA"/>
        </w:rPr>
      </w:pPr>
    </w:p>
    <w:p w:rsidR="00B7027B" w:rsidRDefault="00B7027B" w:rsidP="00B7027B">
      <w:pPr>
        <w:spacing w:line="360" w:lineRule="auto"/>
        <w:rPr>
          <w:rFonts w:cs="Arial"/>
          <w:szCs w:val="20"/>
        </w:rPr>
      </w:pPr>
    </w:p>
    <w:p w:rsidR="00B7027B" w:rsidRDefault="00B7027B" w:rsidP="00B7027B">
      <w:pPr>
        <w:spacing w:line="360" w:lineRule="auto"/>
        <w:rPr>
          <w:rFonts w:cs="Arial"/>
          <w:szCs w:val="20"/>
        </w:rPr>
      </w:pPr>
    </w:p>
    <w:p w:rsidR="00B7027B" w:rsidRDefault="00B7027B" w:rsidP="00B7027B">
      <w:pPr>
        <w:rPr>
          <w:rFonts w:cs="Arial"/>
          <w:szCs w:val="20"/>
        </w:rPr>
      </w:pPr>
      <w:r>
        <w:rPr>
          <w:rFonts w:cs="Arial"/>
          <w:szCs w:val="20"/>
        </w:rPr>
        <w:br w:type="page"/>
      </w:r>
    </w:p>
    <w:p w:rsidR="00B7027B" w:rsidRDefault="00B7027B" w:rsidP="00B7027B">
      <w:pPr>
        <w:rPr>
          <w:rFonts w:cs="Arial"/>
          <w:szCs w:val="20"/>
        </w:rPr>
      </w:pPr>
      <w:r>
        <w:rPr>
          <w:rFonts w:cs="Arial"/>
          <w:szCs w:val="20"/>
        </w:rPr>
        <w:lastRenderedPageBreak/>
        <w:t xml:space="preserve">Table 2. Perennial plant species and their respective seed numbers used in the plots in the renosterveld factorial experiment in Namaqualand. Plant functional groups: ESM = early succession </w:t>
      </w:r>
      <w:proofErr w:type="spellStart"/>
      <w:r>
        <w:rPr>
          <w:rFonts w:cs="Arial"/>
          <w:szCs w:val="20"/>
        </w:rPr>
        <w:t>Mesembryanthemaceae</w:t>
      </w:r>
      <w:proofErr w:type="spellEnd"/>
      <w:r>
        <w:rPr>
          <w:rFonts w:cs="Arial"/>
          <w:szCs w:val="20"/>
        </w:rPr>
        <w:t xml:space="preserve"> (CAM leaf-succulent in the </w:t>
      </w:r>
      <w:proofErr w:type="spellStart"/>
      <w:r>
        <w:rPr>
          <w:rFonts w:cs="Arial"/>
          <w:szCs w:val="20"/>
        </w:rPr>
        <w:t>Aizoaceae</w:t>
      </w:r>
      <w:proofErr w:type="spellEnd"/>
      <w:r>
        <w:rPr>
          <w:rFonts w:cs="Arial"/>
          <w:szCs w:val="20"/>
        </w:rPr>
        <w:t xml:space="preserve"> sub-family), PH = perennial herb, PG = perennial graminoid, WS = woody shrub, LWS = large woody shrub</w:t>
      </w:r>
      <w:r w:rsidR="007E2E6D" w:rsidRPr="00B66BDF">
        <w:rPr>
          <w:rFonts w:cs="Arial"/>
          <w:color w:val="FF0000"/>
          <w:szCs w:val="20"/>
        </w:rPr>
        <w:t xml:space="preserve"> </w:t>
      </w:r>
      <w:r w:rsidR="007E2E6D" w:rsidRPr="00B66BDF">
        <w:rPr>
          <w:rFonts w:cs="Arial"/>
          <w:b/>
          <w:color w:val="FF0000"/>
          <w:szCs w:val="20"/>
        </w:rPr>
        <w:t>(LF)</w:t>
      </w:r>
    </w:p>
    <w:tbl>
      <w:tblPr>
        <w:tblW w:w="9134" w:type="dxa"/>
        <w:tblInd w:w="108" w:type="dxa"/>
        <w:tblLook w:val="04A0" w:firstRow="1" w:lastRow="0" w:firstColumn="1" w:lastColumn="0" w:noHBand="0" w:noVBand="1"/>
      </w:tblPr>
      <w:tblGrid>
        <w:gridCol w:w="1780"/>
        <w:gridCol w:w="3323"/>
        <w:gridCol w:w="1735"/>
        <w:gridCol w:w="2296"/>
      </w:tblGrid>
      <w:tr w:rsidR="00B7027B" w:rsidTr="00B7027B">
        <w:trPr>
          <w:trHeight w:val="418"/>
        </w:trPr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>Family</w:t>
            </w:r>
          </w:p>
        </w:tc>
        <w:tc>
          <w:tcPr>
            <w:tcW w:w="33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>Species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>Seeds per plot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 xml:space="preserve">Plant functional group 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Drosanthemum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hispidum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365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ESM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Leysera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gnaphalodes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75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PH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Molluginaceae</w:t>
            </w:r>
            <w:proofErr w:type="spellEnd"/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Pharnaceum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confertum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70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PH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Aizoon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canariense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75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PH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hAnsi="Verdana" w:cs="Arial"/>
                <w:sz w:val="16"/>
                <w:szCs w:val="16"/>
              </w:rPr>
              <w:t>Restionaceae</w:t>
            </w:r>
            <w:proofErr w:type="spellEnd"/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Ischyrolepis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sp.</w:t>
            </w:r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8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PG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Poaceae</w:t>
            </w:r>
            <w:proofErr w:type="spellEnd"/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Ehrarta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calycina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145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PG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Poaceae</w:t>
            </w:r>
            <w:proofErr w:type="spellEnd"/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Tribolium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hispidum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145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PG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Eriocephalus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microphyllus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55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Helichrysum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hamulosum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75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Pteronia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glomerata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75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Lamiaceae</w:t>
            </w:r>
            <w:proofErr w:type="spellEnd"/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Stachys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rugosa</w:t>
            </w:r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30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Sterculiaceae</w:t>
            </w:r>
            <w:proofErr w:type="spellEnd"/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Hermannia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disermifolia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40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Pteronia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incana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55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Aizoaceae</w:t>
            </w:r>
            <w:proofErr w:type="spellEnd"/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Tetragonia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fruticosa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18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Pteronia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divaricata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55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Asteraceae</w:t>
            </w:r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Pentzia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incana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75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Fabaceae</w:t>
            </w:r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Wiborgia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mucronata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20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Fabaceae</w:t>
            </w:r>
          </w:p>
        </w:tc>
        <w:tc>
          <w:tcPr>
            <w:tcW w:w="3323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</w:pP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Lebeckia</w:t>
            </w:r>
            <w:proofErr w:type="spellEnd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 xml:space="preserve"> </w:t>
            </w:r>
            <w:proofErr w:type="spellStart"/>
            <w:r>
              <w:rPr>
                <w:rFonts w:ascii="Verdana" w:eastAsia="Times New Roman" w:hAnsi="Verdana" w:cs="Arial"/>
                <w:i/>
                <w:sz w:val="16"/>
                <w:szCs w:val="16"/>
                <w:lang w:eastAsia="en-ZA"/>
              </w:rPr>
              <w:t>sericea</w:t>
            </w:r>
            <w:proofErr w:type="spellEnd"/>
          </w:p>
        </w:tc>
        <w:tc>
          <w:tcPr>
            <w:tcW w:w="1735" w:type="dxa"/>
            <w:noWrap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55</w:t>
            </w:r>
          </w:p>
        </w:tc>
        <w:tc>
          <w:tcPr>
            <w:tcW w:w="2296" w:type="dxa"/>
            <w:vAlign w:val="center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  <w:t>LWS</w:t>
            </w:r>
          </w:p>
        </w:tc>
      </w:tr>
      <w:tr w:rsidR="00B7027B" w:rsidTr="00B7027B">
        <w:trPr>
          <w:trHeight w:val="20"/>
        </w:trPr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</w:p>
        </w:tc>
        <w:tc>
          <w:tcPr>
            <w:tcW w:w="332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sz w:val="16"/>
                <w:szCs w:val="16"/>
                <w:lang w:eastAsia="en-ZA"/>
              </w:rPr>
              <w:t xml:space="preserve">Total 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B7027B" w:rsidRDefault="00B7027B">
            <w:pPr>
              <w:spacing w:after="0" w:line="360" w:lineRule="auto"/>
              <w:jc w:val="center"/>
              <w:rPr>
                <w:rFonts w:ascii="Verdana" w:eastAsia="Times New Roman" w:hAnsi="Verdana" w:cs="Arial"/>
                <w:b/>
                <w:bCs/>
                <w:sz w:val="16"/>
                <w:szCs w:val="16"/>
                <w:lang w:eastAsia="en-ZA"/>
              </w:rPr>
            </w:pPr>
            <w:r>
              <w:rPr>
                <w:rFonts w:ascii="Verdana" w:eastAsia="Times New Roman" w:hAnsi="Verdana" w:cs="Arial"/>
                <w:b/>
                <w:bCs/>
                <w:sz w:val="16"/>
                <w:szCs w:val="16"/>
                <w:lang w:eastAsia="en-ZA"/>
              </w:rPr>
              <w:t>1436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B7027B" w:rsidRDefault="00B7027B">
            <w:pPr>
              <w:spacing w:after="0" w:line="360" w:lineRule="auto"/>
              <w:rPr>
                <w:rFonts w:ascii="Verdana" w:eastAsia="Times New Roman" w:hAnsi="Verdana" w:cs="Arial"/>
                <w:sz w:val="16"/>
                <w:szCs w:val="16"/>
                <w:lang w:eastAsia="en-ZA"/>
              </w:rPr>
            </w:pPr>
          </w:p>
        </w:tc>
      </w:tr>
    </w:tbl>
    <w:p w:rsidR="00B7027B" w:rsidRPr="00B7027B" w:rsidRDefault="00B7027B" w:rsidP="00B7027B"/>
    <w:sectPr w:rsidR="00B7027B" w:rsidRPr="00B70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27B"/>
    <w:rsid w:val="00313761"/>
    <w:rsid w:val="007E2E6D"/>
    <w:rsid w:val="00B66BDF"/>
    <w:rsid w:val="00B7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90FF"/>
  <w15:chartTrackingRefBased/>
  <w15:docId w15:val="{C704C3D7-AD1D-4FC9-B136-626943B9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8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Shackelford</dc:creator>
  <cp:keywords/>
  <dc:description/>
  <cp:lastModifiedBy>Nancy Shackelford</cp:lastModifiedBy>
  <cp:revision>3</cp:revision>
  <dcterms:created xsi:type="dcterms:W3CDTF">2018-02-10T15:16:00Z</dcterms:created>
  <dcterms:modified xsi:type="dcterms:W3CDTF">2018-03-20T20:46:00Z</dcterms:modified>
</cp:coreProperties>
</file>