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3725" w:type="dxa"/>
        <w:shd w:val="clear" w:color="auto" w:fill="FFFFFF"/>
        <w:tblCellMar>
          <w:left w:w="0" w:type="dxa"/>
          <w:right w:w="0" w:type="dxa"/>
        </w:tblCellMar>
        <w:tblLook w:val="04A0" w:firstRow="1" w:lastRow="0" w:firstColumn="1" w:lastColumn="0" w:noHBand="0" w:noVBand="1"/>
      </w:tblPr>
      <w:tblGrid>
        <w:gridCol w:w="4073"/>
        <w:gridCol w:w="2718"/>
        <w:gridCol w:w="2134"/>
        <w:gridCol w:w="2400"/>
        <w:gridCol w:w="2400"/>
      </w:tblGrid>
      <w:tr w:rsidR="00F12FA5" w:rsidRPr="00F12FA5" w:rsidTr="00F12FA5">
        <w:tc>
          <w:tcPr>
            <w:tcW w:w="4050" w:type="dxa"/>
            <w:tcBorders>
              <w:top w:val="single" w:sz="8" w:space="0" w:color="auto"/>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6930" w:type="dxa"/>
            <w:gridSpan w:val="4"/>
            <w:tcBorders>
              <w:top w:val="single" w:sz="8" w:space="0" w:color="auto"/>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b/>
                <w:bCs/>
                <w:color w:val="222222"/>
                <w:sz w:val="19"/>
                <w:szCs w:val="19"/>
              </w:rPr>
              <w:t>Fire complex</w:t>
            </w:r>
          </w:p>
        </w:tc>
      </w:tr>
      <w:tr w:rsidR="00F12FA5" w:rsidRPr="00F12FA5" w:rsidTr="00F12FA5">
        <w:tc>
          <w:tcPr>
            <w:tcW w:w="4050" w:type="dxa"/>
            <w:tcBorders>
              <w:top w:val="nil"/>
              <w:left w:val="nil"/>
              <w:bottom w:val="nil"/>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800" w:type="dxa"/>
            <w:tcBorders>
              <w:top w:val="nil"/>
              <w:left w:val="nil"/>
              <w:bottom w:val="nil"/>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Butte</w:t>
            </w:r>
          </w:p>
        </w:tc>
        <w:tc>
          <w:tcPr>
            <w:tcW w:w="1710" w:type="dxa"/>
            <w:tcBorders>
              <w:top w:val="nil"/>
              <w:left w:val="nil"/>
              <w:bottom w:val="nil"/>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Bartlett</w:t>
            </w:r>
          </w:p>
        </w:tc>
        <w:tc>
          <w:tcPr>
            <w:tcW w:w="1710" w:type="dxa"/>
            <w:tcBorders>
              <w:top w:val="nil"/>
              <w:left w:val="nil"/>
              <w:bottom w:val="nil"/>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proofErr w:type="spellStart"/>
            <w:r w:rsidRPr="00F12FA5">
              <w:rPr>
                <w:rFonts w:ascii="Arial" w:eastAsia="Times New Roman" w:hAnsi="Arial" w:cs="Arial"/>
                <w:color w:val="222222"/>
                <w:sz w:val="19"/>
                <w:szCs w:val="19"/>
              </w:rPr>
              <w:t>Egley</w:t>
            </w:r>
            <w:proofErr w:type="spellEnd"/>
          </w:p>
        </w:tc>
        <w:tc>
          <w:tcPr>
            <w:tcW w:w="1710" w:type="dxa"/>
            <w:tcBorders>
              <w:top w:val="nil"/>
              <w:left w:val="nil"/>
              <w:bottom w:val="nil"/>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Roundtop</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b/>
                <w:bCs/>
                <w:color w:val="222222"/>
                <w:sz w:val="19"/>
                <w:szCs w:val="19"/>
              </w:rPr>
              <w:t>Site data</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Location</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N 43º 27.583'                                W 118º 01.564'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N 43º 43.601'                     W 118º 22.068'</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N 43º 33.494'                          W 119º 21.905'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N 43º 32.166'                          W 119º 54.494'</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Soil texture (% sand, silt, clay)</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25, 61, 14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28, 52, 20</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36, 53, 11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58, 35, 7</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proofErr w:type="spellStart"/>
            <w:r w:rsidRPr="00F12FA5">
              <w:rPr>
                <w:rFonts w:ascii="Arial" w:eastAsia="Times New Roman" w:hAnsi="Arial" w:cs="Arial"/>
                <w:color w:val="222222"/>
                <w:sz w:val="19"/>
                <w:szCs w:val="19"/>
              </w:rPr>
              <w:t>Macrotopography</w:t>
            </w:r>
            <w:proofErr w:type="spellEnd"/>
            <w:r w:rsidRPr="00F12FA5">
              <w:rPr>
                <w:rFonts w:ascii="Arial" w:eastAsia="Times New Roman" w:hAnsi="Arial" w:cs="Arial"/>
                <w:color w:val="222222"/>
                <w:sz w:val="19"/>
                <w:szCs w:val="19"/>
              </w:rPr>
              <w:t xml:space="preserve"> variance (log cm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1.63±0.05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0.92 ±0.12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0.99±0.02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0.79±0.05</w:t>
            </w:r>
          </w:p>
        </w:tc>
      </w:tr>
      <w:tr w:rsidR="00F12FA5" w:rsidRPr="00F12FA5" w:rsidTr="00F12FA5">
        <w:trPr>
          <w:trHeight w:val="305"/>
        </w:trPr>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Microtopography variance (log mm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0.45±0.05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0.15±0.05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0.21±0.04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0.26±0.06</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b/>
                <w:bCs/>
                <w:color w:val="222222"/>
                <w:sz w:val="19"/>
                <w:szCs w:val="19"/>
              </w:rPr>
              <w:t>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b/>
                <w:bCs/>
                <w:color w:val="222222"/>
                <w:sz w:val="19"/>
                <w:szCs w:val="19"/>
              </w:rPr>
              <w:t>Seeding data</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rPr>
          <w:trHeight w:val="1412"/>
        </w:trPr>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Seed mix (species code, mix composition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(PSSP, 24)</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(AGDE, 48)</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(AGSM, 24)</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(ACMI, 2)</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(LIPE, 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(PSSP, 11)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(AGDE, 54)</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(LECI, 11)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(ACMI, 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(LIPE, 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(PSSP, 22)</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(AGDE, 43)</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(AGFR, 22)</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(LECI, 11)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(ACMI, 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(LIPE, 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(PSSP, 38)</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(ELWA, 38)</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(POSE, 11)</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(LECI, 12)</w:t>
            </w:r>
          </w:p>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(ACMI, 1)</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Seeding rate (kg ha</w:t>
            </w:r>
            <w:r w:rsidRPr="00F12FA5">
              <w:rPr>
                <w:rFonts w:ascii="Arial" w:eastAsia="Times New Roman" w:hAnsi="Arial" w:cs="Arial"/>
                <w:color w:val="222222"/>
                <w:sz w:val="19"/>
                <w:szCs w:val="19"/>
                <w:vertAlign w:val="superscript"/>
              </w:rPr>
              <w:t>-1</w:t>
            </w:r>
            <w:r w:rsidRPr="00F12FA5">
              <w:rPr>
                <w:rFonts w:ascii="Arial" w:eastAsia="Times New Roman" w:hAnsi="Arial" w:cs="Arial"/>
                <w:color w:val="222222"/>
                <w:sz w:val="19"/>
                <w:szCs w:val="19"/>
              </w:rPr>
              <w:t>, seeds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(9.01, 429)</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(10.36, 334)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(10.36, 370)</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(9.24, 308)</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Planting date</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11/26/2007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11/28/2007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11/15/07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11/02/07</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Field germination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56.9±3.3</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67.1±2.5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62.6 ±3.1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78.4 ±2.1</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b/>
                <w:bCs/>
                <w:color w:val="222222"/>
                <w:sz w:val="19"/>
                <w:szCs w:val="19"/>
              </w:rPr>
              <w:t>Post-fire native community response</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Soil N burned (µg cm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5.8±1.4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4.6 ± 0.4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23.4±7.5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10.7±2.3</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Soil N unburned (µg cm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2.02± 0.2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3.1±0.8</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2.4±0.4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2.6±0.2</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Annual grass density (plants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5.1±2.1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8.5±2.7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1.7±0.5</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2.3±0.3</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Bunchgrass density (plants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1.5±0.6</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6.0±2.7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2.9±0.4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2.8±1.3</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proofErr w:type="spellStart"/>
            <w:r w:rsidRPr="00F12FA5">
              <w:rPr>
                <w:rFonts w:ascii="Arial" w:eastAsia="Times New Roman" w:hAnsi="Arial" w:cs="Arial"/>
                <w:i/>
                <w:iCs/>
                <w:color w:val="222222"/>
                <w:sz w:val="19"/>
                <w:szCs w:val="19"/>
              </w:rPr>
              <w:t>Poa</w:t>
            </w:r>
            <w:proofErr w:type="spellEnd"/>
            <w:r w:rsidRPr="00F12FA5">
              <w:rPr>
                <w:rFonts w:ascii="Arial" w:eastAsia="Times New Roman" w:hAnsi="Arial" w:cs="Arial"/>
                <w:i/>
                <w:iCs/>
                <w:color w:val="222222"/>
                <w:sz w:val="19"/>
                <w:szCs w:val="19"/>
              </w:rPr>
              <w:t xml:space="preserve"> </w:t>
            </w:r>
            <w:proofErr w:type="spellStart"/>
            <w:r w:rsidRPr="00F12FA5">
              <w:rPr>
                <w:rFonts w:ascii="Arial" w:eastAsia="Times New Roman" w:hAnsi="Arial" w:cs="Arial"/>
                <w:i/>
                <w:iCs/>
                <w:color w:val="222222"/>
                <w:sz w:val="19"/>
                <w:szCs w:val="19"/>
              </w:rPr>
              <w:t>secunda</w:t>
            </w:r>
            <w:proofErr w:type="spellEnd"/>
            <w:r w:rsidRPr="00F12FA5">
              <w:rPr>
                <w:rFonts w:ascii="Arial" w:eastAsia="Times New Roman" w:hAnsi="Arial" w:cs="Arial"/>
                <w:color w:val="222222"/>
                <w:sz w:val="19"/>
                <w:szCs w:val="19"/>
              </w:rPr>
              <w:t> density (plants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12.7±0.1</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11.1±1.3</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16.1±0.9</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0.13±0.13</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Rhizomatous grass density (plants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0</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12.4±1.8</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Perennial forb density (plants m</w:t>
            </w:r>
            <w:r w:rsidRPr="00F12FA5">
              <w:rPr>
                <w:rFonts w:ascii="Arial" w:eastAsia="Times New Roman" w:hAnsi="Arial" w:cs="Arial"/>
                <w:color w:val="222222"/>
                <w:sz w:val="19"/>
                <w:szCs w:val="19"/>
                <w:vertAlign w:val="superscript"/>
              </w:rPr>
              <w:t>-2</w:t>
            </w:r>
            <w:r w:rsidRPr="00F12FA5">
              <w:rPr>
                <w:rFonts w:ascii="Arial" w:eastAsia="Times New Roman" w:hAnsi="Arial" w:cs="Arial"/>
                <w:color w:val="222222"/>
                <w:sz w:val="19"/>
                <w:szCs w:val="19"/>
              </w:rPr>
              <w:t>)</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28.5±6.8</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21.27±5.12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7.8±4.4</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2.93±0.4</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right"/>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 </w:t>
            </w:r>
          </w:p>
        </w:tc>
      </w:tr>
      <w:tr w:rsidR="00F12FA5" w:rsidRPr="00F12FA5" w:rsidTr="00F12FA5">
        <w:tc>
          <w:tcPr>
            <w:tcW w:w="4050" w:type="dxa"/>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Bunchgrass mortality (%)</w:t>
            </w:r>
          </w:p>
        </w:tc>
        <w:tc>
          <w:tcPr>
            <w:tcW w:w="180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25.9±5.7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1.7±1.2</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8.9±2.7</w:t>
            </w:r>
          </w:p>
        </w:tc>
        <w:tc>
          <w:tcPr>
            <w:tcW w:w="1710" w:type="dxa"/>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7.0±2.6</w:t>
            </w:r>
          </w:p>
        </w:tc>
      </w:tr>
      <w:tr w:rsidR="00F12FA5" w:rsidRPr="00F12FA5" w:rsidTr="00F12FA5">
        <w:tc>
          <w:tcPr>
            <w:tcW w:w="4050" w:type="dxa"/>
            <w:tcBorders>
              <w:top w:val="nil"/>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rPr>
                <w:rFonts w:ascii="Arial" w:eastAsia="Times New Roman" w:hAnsi="Arial" w:cs="Arial"/>
                <w:color w:val="222222"/>
                <w:sz w:val="19"/>
                <w:szCs w:val="19"/>
              </w:rPr>
            </w:pPr>
            <w:r w:rsidRPr="00F12FA5">
              <w:rPr>
                <w:rFonts w:ascii="Arial" w:eastAsia="Times New Roman" w:hAnsi="Arial" w:cs="Arial"/>
                <w:color w:val="222222"/>
                <w:sz w:val="19"/>
                <w:szCs w:val="19"/>
              </w:rPr>
              <w:t>Native perennial plant standing crop (kg ha</w:t>
            </w:r>
            <w:r w:rsidRPr="00F12FA5">
              <w:rPr>
                <w:rFonts w:ascii="Arial" w:eastAsia="Times New Roman" w:hAnsi="Arial" w:cs="Arial"/>
                <w:color w:val="222222"/>
                <w:sz w:val="19"/>
                <w:szCs w:val="19"/>
                <w:vertAlign w:val="superscript"/>
              </w:rPr>
              <w:t>-1</w:t>
            </w:r>
            <w:r w:rsidRPr="00F12FA5">
              <w:rPr>
                <w:rFonts w:ascii="Arial" w:eastAsia="Times New Roman" w:hAnsi="Arial" w:cs="Arial"/>
                <w:color w:val="222222"/>
                <w:sz w:val="19"/>
                <w:szCs w:val="19"/>
              </w:rPr>
              <w:t>)</w:t>
            </w:r>
          </w:p>
        </w:tc>
        <w:tc>
          <w:tcPr>
            <w:tcW w:w="1800" w:type="dxa"/>
            <w:tcBorders>
              <w:top w:val="nil"/>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374.6±69</w:t>
            </w:r>
          </w:p>
        </w:tc>
        <w:tc>
          <w:tcPr>
            <w:tcW w:w="1710" w:type="dxa"/>
            <w:tcBorders>
              <w:top w:val="nil"/>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613.3±52.2</w:t>
            </w:r>
          </w:p>
        </w:tc>
        <w:tc>
          <w:tcPr>
            <w:tcW w:w="1710" w:type="dxa"/>
            <w:tcBorders>
              <w:top w:val="nil"/>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790.7±102.2</w:t>
            </w:r>
          </w:p>
        </w:tc>
        <w:tc>
          <w:tcPr>
            <w:tcW w:w="1710" w:type="dxa"/>
            <w:tcBorders>
              <w:top w:val="nil"/>
              <w:left w:val="nil"/>
              <w:bottom w:val="single" w:sz="8" w:space="0" w:color="auto"/>
              <w:right w:val="nil"/>
            </w:tcBorders>
            <w:shd w:val="clear" w:color="auto" w:fill="FFFFFF"/>
            <w:tcMar>
              <w:top w:w="0" w:type="dxa"/>
              <w:left w:w="108" w:type="dxa"/>
              <w:bottom w:w="0" w:type="dxa"/>
              <w:right w:w="108" w:type="dxa"/>
            </w:tcMar>
            <w:hideMark/>
          </w:tcPr>
          <w:p w:rsidR="00F12FA5" w:rsidRPr="00F12FA5" w:rsidRDefault="00F12FA5" w:rsidP="00F12FA5">
            <w:pPr>
              <w:spacing w:after="0" w:line="240" w:lineRule="auto"/>
              <w:jc w:val="center"/>
              <w:rPr>
                <w:rFonts w:ascii="Arial" w:eastAsia="Times New Roman" w:hAnsi="Arial" w:cs="Arial"/>
                <w:color w:val="222222"/>
                <w:sz w:val="19"/>
                <w:szCs w:val="19"/>
              </w:rPr>
            </w:pPr>
            <w:r w:rsidRPr="00F12FA5">
              <w:rPr>
                <w:rFonts w:ascii="Arial" w:eastAsia="Times New Roman" w:hAnsi="Arial" w:cs="Arial"/>
                <w:color w:val="222222"/>
                <w:sz w:val="19"/>
                <w:szCs w:val="19"/>
              </w:rPr>
              <w:t>447.2±119.1</w:t>
            </w:r>
          </w:p>
        </w:tc>
      </w:tr>
    </w:tbl>
    <w:p w:rsidR="00F12FA5" w:rsidRPr="00F12FA5" w:rsidRDefault="00F12FA5" w:rsidP="00F12FA5">
      <w:pPr>
        <w:shd w:val="clear" w:color="auto" w:fill="FFFFFF"/>
        <w:spacing w:after="0" w:line="240" w:lineRule="auto"/>
        <w:rPr>
          <w:rFonts w:ascii="Arial" w:eastAsia="Times New Roman" w:hAnsi="Arial" w:cs="Arial"/>
          <w:color w:val="222222"/>
          <w:sz w:val="19"/>
          <w:szCs w:val="19"/>
        </w:rPr>
      </w:pPr>
      <w:r w:rsidRPr="00F12FA5">
        <w:rPr>
          <w:rFonts w:ascii="Calibri" w:eastAsia="Times New Roman" w:hAnsi="Calibri" w:cs="Calibri"/>
          <w:color w:val="1F497D"/>
        </w:rPr>
        <w:t> </w:t>
      </w:r>
    </w:p>
    <w:p w:rsidR="00DD5ED4" w:rsidRPr="00DD5ED4" w:rsidRDefault="00DD5ED4" w:rsidP="00DD5ED4">
      <w:pPr>
        <w:shd w:val="clear" w:color="auto" w:fill="FFFFFF"/>
        <w:spacing w:after="0" w:line="240" w:lineRule="auto"/>
        <w:rPr>
          <w:rFonts w:ascii="Arial" w:eastAsia="Times New Roman" w:hAnsi="Arial" w:cs="Arial"/>
          <w:color w:val="222222"/>
          <w:sz w:val="19"/>
          <w:szCs w:val="19"/>
        </w:rPr>
      </w:pPr>
      <w:r w:rsidRPr="00DD5ED4">
        <w:rPr>
          <w:rFonts w:ascii="Calibri" w:eastAsia="Times New Roman" w:hAnsi="Calibri" w:cs="Calibri"/>
          <w:color w:val="1F497D"/>
        </w:rPr>
        <w:t>Notes on my data</w:t>
      </w:r>
    </w:p>
    <w:p w:rsidR="00DD5ED4" w:rsidRPr="00DD5ED4" w:rsidRDefault="00DD5ED4" w:rsidP="00DD5ED4">
      <w:pPr>
        <w:shd w:val="clear" w:color="auto" w:fill="FFFFFF"/>
        <w:spacing w:after="0" w:line="240" w:lineRule="auto"/>
        <w:ind w:left="720"/>
        <w:rPr>
          <w:rFonts w:ascii="Times New Roman" w:eastAsia="Times New Roman" w:hAnsi="Times New Roman" w:cs="Times New Roman"/>
          <w:color w:val="222222"/>
          <w:sz w:val="24"/>
          <w:szCs w:val="24"/>
        </w:rPr>
      </w:pPr>
      <w:r w:rsidRPr="00DD5ED4">
        <w:rPr>
          <w:rFonts w:ascii="Symbol" w:eastAsia="Times New Roman" w:hAnsi="Symbol" w:cs="Times New Roman"/>
          <w:color w:val="1F497D"/>
        </w:rPr>
        <w:t></w:t>
      </w:r>
      <w:r w:rsidRPr="00DD5ED4">
        <w:rPr>
          <w:rFonts w:ascii="Times New Roman" w:eastAsia="Times New Roman" w:hAnsi="Times New Roman" w:cs="Times New Roman"/>
          <w:color w:val="1F497D"/>
          <w:sz w:val="14"/>
          <w:szCs w:val="14"/>
        </w:rPr>
        <w:t>        </w:t>
      </w:r>
      <w:r w:rsidRPr="00DD5ED4">
        <w:rPr>
          <w:rFonts w:ascii="Calibri" w:eastAsia="Times New Roman" w:hAnsi="Calibri" w:cs="Calibri"/>
          <w:color w:val="1F497D"/>
        </w:rPr>
        <w:t>These are data collected following BLM seeding following 4 fire complexes on OR (basic fire complex data and response are in the table below).  In this situation we worked with BLM to flag control areas in each complex that were not seeded and we also layered on a few experimental treatments in the seeded area including watering, weeding, and seeding by hand for precision seed placement).</w:t>
      </w:r>
    </w:p>
    <w:p w:rsidR="00DD5ED4" w:rsidRPr="00DD5ED4" w:rsidRDefault="00DD5ED4" w:rsidP="00DD5ED4">
      <w:pPr>
        <w:shd w:val="clear" w:color="auto" w:fill="FFFFFF"/>
        <w:spacing w:after="0" w:line="240" w:lineRule="auto"/>
        <w:ind w:left="720"/>
        <w:rPr>
          <w:rFonts w:ascii="Times New Roman" w:eastAsia="Times New Roman" w:hAnsi="Times New Roman" w:cs="Times New Roman"/>
          <w:color w:val="222222"/>
          <w:sz w:val="24"/>
          <w:szCs w:val="24"/>
        </w:rPr>
      </w:pPr>
      <w:r w:rsidRPr="00DD5ED4">
        <w:rPr>
          <w:rFonts w:ascii="Symbol" w:eastAsia="Times New Roman" w:hAnsi="Symbol" w:cs="Times New Roman"/>
          <w:color w:val="1F497D"/>
        </w:rPr>
        <w:t></w:t>
      </w:r>
      <w:r w:rsidRPr="00DD5ED4">
        <w:rPr>
          <w:rFonts w:ascii="Times New Roman" w:eastAsia="Times New Roman" w:hAnsi="Times New Roman" w:cs="Times New Roman"/>
          <w:color w:val="1F497D"/>
          <w:sz w:val="14"/>
          <w:szCs w:val="14"/>
        </w:rPr>
        <w:t>        </w:t>
      </w:r>
      <w:r w:rsidRPr="00DD5ED4">
        <w:rPr>
          <w:rFonts w:ascii="Calibri" w:eastAsia="Times New Roman" w:hAnsi="Calibri" w:cs="Calibri"/>
          <w:color w:val="1F497D"/>
        </w:rPr>
        <w:t>The attached excel file shows that we measured total seedling density at two time during the growing season but we did not sort out by species as different seed mixes were used at different fire complexes.</w:t>
      </w:r>
    </w:p>
    <w:p w:rsidR="00DD5ED4" w:rsidRPr="00DD5ED4" w:rsidRDefault="00DD5ED4" w:rsidP="00DD5ED4">
      <w:pPr>
        <w:shd w:val="clear" w:color="auto" w:fill="FFFFFF"/>
        <w:spacing w:after="0" w:line="240" w:lineRule="auto"/>
        <w:ind w:left="720"/>
        <w:rPr>
          <w:rFonts w:ascii="Times New Roman" w:eastAsia="Times New Roman" w:hAnsi="Times New Roman" w:cs="Times New Roman"/>
          <w:color w:val="222222"/>
          <w:sz w:val="24"/>
          <w:szCs w:val="24"/>
        </w:rPr>
      </w:pPr>
      <w:r w:rsidRPr="00DD5ED4">
        <w:rPr>
          <w:rFonts w:ascii="Symbol" w:eastAsia="Times New Roman" w:hAnsi="Symbol" w:cs="Times New Roman"/>
          <w:color w:val="1F497D"/>
        </w:rPr>
        <w:lastRenderedPageBreak/>
        <w:t></w:t>
      </w:r>
      <w:r w:rsidRPr="00DD5ED4">
        <w:rPr>
          <w:rFonts w:ascii="Times New Roman" w:eastAsia="Times New Roman" w:hAnsi="Times New Roman" w:cs="Times New Roman"/>
          <w:color w:val="1F497D"/>
          <w:sz w:val="14"/>
          <w:szCs w:val="14"/>
        </w:rPr>
        <w:t>        </w:t>
      </w:r>
      <w:r w:rsidRPr="00DD5ED4">
        <w:rPr>
          <w:rFonts w:ascii="Calibri" w:eastAsia="Times New Roman" w:hAnsi="Calibri" w:cs="Calibri"/>
          <w:color w:val="1F497D"/>
        </w:rPr>
        <w:t xml:space="preserve"> For the “seeds in” portion (see table below) BLM used pounds of PLS per acre, which we had to convert to seeds per m2 by counting and weighing seeds.  This may be one area where assumptions may have to be made using BLM data as different seed lots </w:t>
      </w:r>
      <w:proofErr w:type="spellStart"/>
      <w:r w:rsidRPr="00DD5ED4">
        <w:rPr>
          <w:rFonts w:ascii="Calibri" w:eastAsia="Times New Roman" w:hAnsi="Calibri" w:cs="Calibri"/>
          <w:color w:val="1F497D"/>
        </w:rPr>
        <w:t>ect</w:t>
      </w:r>
      <w:proofErr w:type="spellEnd"/>
      <w:r w:rsidRPr="00DD5ED4">
        <w:rPr>
          <w:rFonts w:ascii="Calibri" w:eastAsia="Times New Roman" w:hAnsi="Calibri" w:cs="Calibri"/>
          <w:color w:val="1F497D"/>
        </w:rPr>
        <w:t xml:space="preserve"> will have somewhat different relationships between weight and number.  Since many of the same varieties are used it may be possible to address this though.</w:t>
      </w:r>
    </w:p>
    <w:p w:rsidR="00DD5ED4" w:rsidRPr="00DD5ED4" w:rsidRDefault="00DD5ED4" w:rsidP="00DD5ED4">
      <w:pPr>
        <w:shd w:val="clear" w:color="auto" w:fill="FFFFFF"/>
        <w:spacing w:after="0" w:line="240" w:lineRule="auto"/>
        <w:rPr>
          <w:rFonts w:ascii="Arial" w:eastAsia="Times New Roman" w:hAnsi="Arial" w:cs="Arial"/>
          <w:color w:val="222222"/>
          <w:sz w:val="19"/>
          <w:szCs w:val="19"/>
        </w:rPr>
      </w:pPr>
      <w:r w:rsidRPr="00DD5ED4">
        <w:rPr>
          <w:rFonts w:ascii="Calibri" w:eastAsia="Times New Roman" w:hAnsi="Calibri" w:cs="Calibri"/>
          <w:color w:val="1F497D"/>
        </w:rPr>
        <w:t> </w:t>
      </w:r>
    </w:p>
    <w:p w:rsidR="00951BF6" w:rsidRDefault="00951BF6">
      <w:bookmarkStart w:id="0" w:name="_GoBack"/>
      <w:bookmarkEnd w:id="0"/>
    </w:p>
    <w:sectPr w:rsidR="00951BF6" w:rsidSect="00F12FA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A5"/>
    <w:rsid w:val="00951BF6"/>
    <w:rsid w:val="00DD5ED4"/>
    <w:rsid w:val="00F1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C1792-540B-41E1-BDCB-B56BD81B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6809602048001201512msolistparagraph">
    <w:name w:val="m_-6809602048001201512msolistparagraph"/>
    <w:basedOn w:val="Normal"/>
    <w:rsid w:val="00DD5E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090869">
      <w:bodyDiv w:val="1"/>
      <w:marLeft w:val="0"/>
      <w:marRight w:val="0"/>
      <w:marTop w:val="0"/>
      <w:marBottom w:val="0"/>
      <w:divBdr>
        <w:top w:val="none" w:sz="0" w:space="0" w:color="auto"/>
        <w:left w:val="none" w:sz="0" w:space="0" w:color="auto"/>
        <w:bottom w:val="none" w:sz="0" w:space="0" w:color="auto"/>
        <w:right w:val="none" w:sz="0" w:space="0" w:color="auto"/>
      </w:divBdr>
    </w:div>
    <w:div w:id="197482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Shackelford</dc:creator>
  <cp:keywords/>
  <dc:description/>
  <cp:lastModifiedBy>Nancy Shackelford</cp:lastModifiedBy>
  <cp:revision>2</cp:revision>
  <dcterms:created xsi:type="dcterms:W3CDTF">2018-02-07T14:33:00Z</dcterms:created>
  <dcterms:modified xsi:type="dcterms:W3CDTF">2018-02-07T14:34:00Z</dcterms:modified>
</cp:coreProperties>
</file>