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3BAF" w:rsidRDefault="00633BAF" w:rsidP="00633BAF">
      <w:pPr>
        <w:pStyle w:val="m-7936653213815224521msolistparagraph"/>
        <w:shd w:val="clear" w:color="auto" w:fill="FFFFFF"/>
        <w:spacing w:before="0" w:beforeAutospacing="0" w:after="0" w:afterAutospacing="0"/>
        <w:ind w:left="720"/>
        <w:rPr>
          <w:color w:val="222222"/>
        </w:rPr>
      </w:pPr>
      <w:r>
        <w:rPr>
          <w:rFonts w:ascii="Calibri" w:hAnsi="Calibri" w:cs="Calibri"/>
          <w:color w:val="1F497D"/>
          <w:sz w:val="22"/>
          <w:szCs w:val="22"/>
        </w:rPr>
        <w:t>-</w:t>
      </w:r>
      <w:r>
        <w:rPr>
          <w:color w:val="1F497D"/>
          <w:sz w:val="14"/>
          <w:szCs w:val="14"/>
        </w:rPr>
        <w:t>        </w:t>
      </w:r>
      <w:r>
        <w:rPr>
          <w:rFonts w:ascii="Calibri" w:hAnsi="Calibri" w:cs="Calibri"/>
          <w:b/>
          <w:bCs/>
          <w:color w:val="1F497D"/>
          <w:sz w:val="22"/>
          <w:szCs w:val="22"/>
        </w:rPr>
        <w:t>General Aim:</w:t>
      </w:r>
      <w:r>
        <w:rPr>
          <w:rFonts w:ascii="Calibri" w:hAnsi="Calibri" w:cs="Calibri"/>
          <w:color w:val="1F497D"/>
          <w:sz w:val="22"/>
          <w:szCs w:val="22"/>
        </w:rPr>
        <w:t> to test the influence of soil type and moisture availability on early life stage transitions of common Pilbara species required in mine site restoration programs</w:t>
      </w:r>
    </w:p>
    <w:p w:rsidR="00633BAF" w:rsidRDefault="00633BAF" w:rsidP="00633BAF">
      <w:pPr>
        <w:pStyle w:val="m-7936653213815224521msolistparagraph"/>
        <w:shd w:val="clear" w:color="auto" w:fill="FFFFFF"/>
        <w:spacing w:before="0" w:beforeAutospacing="0" w:after="0" w:afterAutospacing="0"/>
        <w:ind w:left="720"/>
        <w:rPr>
          <w:color w:val="222222"/>
        </w:rPr>
      </w:pPr>
      <w:r>
        <w:rPr>
          <w:rFonts w:ascii="Calibri" w:hAnsi="Calibri" w:cs="Calibri"/>
          <w:color w:val="1F497D"/>
          <w:sz w:val="22"/>
          <w:szCs w:val="22"/>
        </w:rPr>
        <w:t>-</w:t>
      </w:r>
      <w:r>
        <w:rPr>
          <w:color w:val="1F497D"/>
          <w:sz w:val="14"/>
          <w:szCs w:val="14"/>
        </w:rPr>
        <w:t>        </w:t>
      </w:r>
      <w:r>
        <w:rPr>
          <w:rFonts w:ascii="Calibri" w:hAnsi="Calibri" w:cs="Calibri"/>
          <w:b/>
          <w:bCs/>
          <w:color w:val="1F497D"/>
          <w:sz w:val="22"/>
          <w:szCs w:val="22"/>
        </w:rPr>
        <w:t>Species tested:</w:t>
      </w:r>
      <w:r>
        <w:rPr>
          <w:rFonts w:ascii="Calibri" w:hAnsi="Calibri" w:cs="Calibri"/>
          <w:color w:val="1F497D"/>
          <w:sz w:val="22"/>
          <w:szCs w:val="22"/>
        </w:rPr>
        <w:t> </w:t>
      </w:r>
      <w:r>
        <w:rPr>
          <w:rFonts w:ascii="Calibri" w:hAnsi="Calibri" w:cs="Calibri"/>
          <w:i/>
          <w:iCs/>
          <w:color w:val="1F497D"/>
          <w:sz w:val="22"/>
          <w:szCs w:val="22"/>
        </w:rPr>
        <w:t>Acacia</w:t>
      </w:r>
      <w:r>
        <w:rPr>
          <w:rFonts w:ascii="Calibri" w:hAnsi="Calibri" w:cs="Calibri"/>
          <w:color w:val="1F497D"/>
          <w:sz w:val="22"/>
          <w:szCs w:val="22"/>
        </w:rPr>
        <w:t> </w:t>
      </w:r>
      <w:r>
        <w:rPr>
          <w:rFonts w:ascii="Calibri" w:hAnsi="Calibri" w:cs="Calibri"/>
          <w:i/>
          <w:iCs/>
          <w:color w:val="1F497D"/>
          <w:sz w:val="22"/>
          <w:szCs w:val="22"/>
        </w:rPr>
        <w:t>inaequilatera</w:t>
      </w:r>
      <w:r>
        <w:rPr>
          <w:rFonts w:ascii="Calibri" w:hAnsi="Calibri" w:cs="Calibri"/>
          <w:color w:val="1F497D"/>
          <w:sz w:val="22"/>
          <w:szCs w:val="22"/>
        </w:rPr>
        <w:t>, </w:t>
      </w:r>
      <w:r>
        <w:rPr>
          <w:rFonts w:ascii="Calibri" w:hAnsi="Calibri" w:cs="Calibri"/>
          <w:i/>
          <w:iCs/>
          <w:color w:val="1F497D"/>
          <w:sz w:val="22"/>
          <w:szCs w:val="22"/>
        </w:rPr>
        <w:t>Acacia</w:t>
      </w:r>
      <w:r>
        <w:rPr>
          <w:rFonts w:ascii="Calibri" w:hAnsi="Calibri" w:cs="Calibri"/>
          <w:color w:val="1F497D"/>
          <w:sz w:val="22"/>
          <w:szCs w:val="22"/>
        </w:rPr>
        <w:t> </w:t>
      </w:r>
      <w:r>
        <w:rPr>
          <w:rFonts w:ascii="Calibri" w:hAnsi="Calibri" w:cs="Calibri"/>
          <w:i/>
          <w:iCs/>
          <w:color w:val="1F497D"/>
          <w:sz w:val="22"/>
          <w:szCs w:val="22"/>
        </w:rPr>
        <w:t>hilliana</w:t>
      </w:r>
      <w:r>
        <w:rPr>
          <w:rFonts w:ascii="Calibri" w:hAnsi="Calibri" w:cs="Calibri"/>
          <w:color w:val="1F497D"/>
          <w:sz w:val="22"/>
          <w:szCs w:val="22"/>
        </w:rPr>
        <w:t>, </w:t>
      </w:r>
      <w:r>
        <w:rPr>
          <w:rFonts w:ascii="Calibri" w:hAnsi="Calibri" w:cs="Calibri"/>
          <w:i/>
          <w:iCs/>
          <w:color w:val="1F497D"/>
          <w:sz w:val="22"/>
          <w:szCs w:val="22"/>
        </w:rPr>
        <w:t>Indigofera</w:t>
      </w:r>
      <w:r>
        <w:rPr>
          <w:rFonts w:ascii="Calibri" w:hAnsi="Calibri" w:cs="Calibri"/>
          <w:color w:val="1F497D"/>
          <w:sz w:val="22"/>
          <w:szCs w:val="22"/>
        </w:rPr>
        <w:t> </w:t>
      </w:r>
      <w:r>
        <w:rPr>
          <w:rFonts w:ascii="Calibri" w:hAnsi="Calibri" w:cs="Calibri"/>
          <w:i/>
          <w:iCs/>
          <w:color w:val="1F497D"/>
          <w:sz w:val="22"/>
          <w:szCs w:val="22"/>
        </w:rPr>
        <w:t>monophylla</w:t>
      </w:r>
      <w:r>
        <w:rPr>
          <w:rFonts w:ascii="Calibri" w:hAnsi="Calibri" w:cs="Calibri"/>
          <w:color w:val="1F497D"/>
          <w:sz w:val="22"/>
          <w:szCs w:val="22"/>
        </w:rPr>
        <w:t>, </w:t>
      </w:r>
      <w:r>
        <w:rPr>
          <w:rFonts w:ascii="Calibri" w:hAnsi="Calibri" w:cs="Calibri"/>
          <w:i/>
          <w:iCs/>
          <w:color w:val="1F497D"/>
          <w:sz w:val="22"/>
          <w:szCs w:val="22"/>
        </w:rPr>
        <w:t>Triodia</w:t>
      </w:r>
      <w:r>
        <w:rPr>
          <w:rFonts w:ascii="Calibri" w:hAnsi="Calibri" w:cs="Calibri"/>
          <w:color w:val="1F497D"/>
          <w:sz w:val="22"/>
          <w:szCs w:val="22"/>
        </w:rPr>
        <w:t> </w:t>
      </w:r>
      <w:r>
        <w:rPr>
          <w:rFonts w:ascii="Calibri" w:hAnsi="Calibri" w:cs="Calibri"/>
          <w:i/>
          <w:iCs/>
          <w:color w:val="1F497D"/>
          <w:sz w:val="22"/>
          <w:szCs w:val="22"/>
        </w:rPr>
        <w:t>wiseana</w:t>
      </w:r>
      <w:r>
        <w:rPr>
          <w:rFonts w:ascii="Calibri" w:hAnsi="Calibri" w:cs="Calibri"/>
          <w:color w:val="1F497D"/>
          <w:sz w:val="22"/>
          <w:szCs w:val="22"/>
        </w:rPr>
        <w:t>, and </w:t>
      </w:r>
      <w:proofErr w:type="spellStart"/>
      <w:r>
        <w:rPr>
          <w:rFonts w:ascii="Calibri" w:hAnsi="Calibri" w:cs="Calibri"/>
          <w:i/>
          <w:iCs/>
          <w:color w:val="1F497D"/>
          <w:sz w:val="22"/>
          <w:szCs w:val="22"/>
        </w:rPr>
        <w:t>Triodia</w:t>
      </w:r>
      <w:proofErr w:type="spellEnd"/>
      <w:r>
        <w:rPr>
          <w:rFonts w:ascii="Calibri" w:hAnsi="Calibri" w:cs="Calibri"/>
          <w:color w:val="1F497D"/>
          <w:sz w:val="22"/>
          <w:szCs w:val="22"/>
        </w:rPr>
        <w:t> </w:t>
      </w:r>
      <w:proofErr w:type="spellStart"/>
      <w:r>
        <w:rPr>
          <w:rFonts w:ascii="Calibri" w:hAnsi="Calibri" w:cs="Calibri"/>
          <w:i/>
          <w:iCs/>
          <w:color w:val="1F497D"/>
          <w:sz w:val="22"/>
          <w:szCs w:val="22"/>
        </w:rPr>
        <w:t>epactia</w:t>
      </w:r>
      <w:proofErr w:type="spellEnd"/>
    </w:p>
    <w:p w:rsidR="00633BAF" w:rsidRDefault="00633BAF" w:rsidP="00633BAF">
      <w:pPr>
        <w:pStyle w:val="m-7936653213815224521msolistparagraph"/>
        <w:shd w:val="clear" w:color="auto" w:fill="FFFFFF"/>
        <w:spacing w:before="0" w:beforeAutospacing="0" w:after="0" w:afterAutospacing="0"/>
        <w:ind w:left="720"/>
        <w:rPr>
          <w:color w:val="222222"/>
        </w:rPr>
      </w:pPr>
      <w:r>
        <w:rPr>
          <w:rFonts w:ascii="Calibri" w:hAnsi="Calibri" w:cs="Calibri"/>
          <w:color w:val="1F497D"/>
          <w:sz w:val="22"/>
          <w:szCs w:val="22"/>
        </w:rPr>
        <w:t>-</w:t>
      </w:r>
      <w:r>
        <w:rPr>
          <w:color w:val="1F497D"/>
          <w:sz w:val="14"/>
          <w:szCs w:val="14"/>
        </w:rPr>
        <w:t>        </w:t>
      </w:r>
      <w:r>
        <w:rPr>
          <w:rFonts w:ascii="Calibri" w:hAnsi="Calibri" w:cs="Calibri"/>
          <w:b/>
          <w:bCs/>
          <w:color w:val="1F497D"/>
          <w:sz w:val="22"/>
          <w:szCs w:val="22"/>
        </w:rPr>
        <w:t>Seed pre-treatments:</w:t>
      </w:r>
      <w:r>
        <w:rPr>
          <w:rFonts w:ascii="Calibri" w:hAnsi="Calibri" w:cs="Calibri"/>
          <w:color w:val="1F497D"/>
          <w:sz w:val="22"/>
          <w:szCs w:val="22"/>
        </w:rPr>
        <w:t> Seeds were all treated with their respective optimum pre-treatment to break dormancy (e.g. </w:t>
      </w:r>
      <w:r>
        <w:rPr>
          <w:rFonts w:ascii="Calibri" w:hAnsi="Calibri" w:cs="Calibri"/>
          <w:i/>
          <w:iCs/>
          <w:color w:val="1F497D"/>
          <w:sz w:val="22"/>
          <w:szCs w:val="22"/>
        </w:rPr>
        <w:t>Acacia</w:t>
      </w:r>
      <w:r>
        <w:rPr>
          <w:rFonts w:ascii="Calibri" w:hAnsi="Calibri" w:cs="Calibri"/>
          <w:color w:val="1F497D"/>
          <w:sz w:val="22"/>
          <w:szCs w:val="22"/>
        </w:rPr>
        <w:t> spp. and </w:t>
      </w:r>
      <w:proofErr w:type="spellStart"/>
      <w:r>
        <w:rPr>
          <w:rFonts w:ascii="Calibri" w:hAnsi="Calibri" w:cs="Calibri"/>
          <w:i/>
          <w:iCs/>
          <w:color w:val="1F497D"/>
          <w:sz w:val="22"/>
          <w:szCs w:val="22"/>
        </w:rPr>
        <w:t>Indigofera</w:t>
      </w:r>
      <w:r>
        <w:rPr>
          <w:rFonts w:ascii="Calibri" w:hAnsi="Calibri" w:cs="Calibri"/>
          <w:color w:val="1F497D"/>
          <w:sz w:val="22"/>
          <w:szCs w:val="22"/>
        </w:rPr>
        <w:t>heat</w:t>
      </w:r>
      <w:proofErr w:type="spellEnd"/>
      <w:r>
        <w:rPr>
          <w:rFonts w:ascii="Calibri" w:hAnsi="Calibri" w:cs="Calibri"/>
          <w:color w:val="1F497D"/>
          <w:sz w:val="22"/>
          <w:szCs w:val="22"/>
        </w:rPr>
        <w:t xml:space="preserve"> treated, </w:t>
      </w:r>
      <w:proofErr w:type="spellStart"/>
      <w:r>
        <w:rPr>
          <w:rFonts w:ascii="Calibri" w:hAnsi="Calibri" w:cs="Calibri"/>
          <w:i/>
          <w:iCs/>
          <w:color w:val="1F497D"/>
          <w:sz w:val="22"/>
          <w:szCs w:val="22"/>
        </w:rPr>
        <w:t>Triodia</w:t>
      </w:r>
      <w:proofErr w:type="spellEnd"/>
      <w:r>
        <w:rPr>
          <w:rFonts w:ascii="Calibri" w:hAnsi="Calibri" w:cs="Calibri"/>
          <w:color w:val="1F497D"/>
          <w:sz w:val="22"/>
          <w:szCs w:val="22"/>
        </w:rPr>
        <w:t> spp. cleaned to pure seeds)</w:t>
      </w:r>
    </w:p>
    <w:p w:rsidR="00633BAF" w:rsidRDefault="00633BAF" w:rsidP="00633BAF">
      <w:pPr>
        <w:pStyle w:val="m-7936653213815224521msolistparagraph"/>
        <w:shd w:val="clear" w:color="auto" w:fill="FFFFFF"/>
        <w:spacing w:before="0" w:beforeAutospacing="0" w:after="0" w:afterAutospacing="0"/>
        <w:ind w:left="720"/>
        <w:rPr>
          <w:color w:val="222222"/>
        </w:rPr>
      </w:pPr>
      <w:r>
        <w:rPr>
          <w:rFonts w:ascii="Calibri" w:hAnsi="Calibri" w:cs="Calibri"/>
          <w:color w:val="1F497D"/>
          <w:sz w:val="22"/>
          <w:szCs w:val="22"/>
        </w:rPr>
        <w:t>-</w:t>
      </w:r>
      <w:r>
        <w:rPr>
          <w:color w:val="1F497D"/>
          <w:sz w:val="14"/>
          <w:szCs w:val="14"/>
        </w:rPr>
        <w:t>        </w:t>
      </w:r>
      <w:r>
        <w:rPr>
          <w:rFonts w:ascii="Calibri" w:hAnsi="Calibri" w:cs="Calibri"/>
          <w:b/>
          <w:bCs/>
          <w:color w:val="1F497D"/>
          <w:sz w:val="22"/>
          <w:szCs w:val="22"/>
        </w:rPr>
        <w:t>Sowing plots:</w:t>
      </w:r>
      <w:r>
        <w:rPr>
          <w:rFonts w:ascii="Calibri" w:hAnsi="Calibri" w:cs="Calibri"/>
          <w:color w:val="1F497D"/>
          <w:sz w:val="22"/>
          <w:szCs w:val="22"/>
        </w:rPr>
        <w:t> Seeds were sown into 2m x 4m plots containing 1 of 5 soil types (topsoil (</w:t>
      </w:r>
      <w:r>
        <w:rPr>
          <w:rFonts w:ascii="Calibri" w:hAnsi="Calibri" w:cs="Calibri"/>
          <w:color w:val="1F497D"/>
          <w:sz w:val="22"/>
          <w:szCs w:val="22"/>
          <w:u w:val="single"/>
        </w:rPr>
        <w:t>G1</w:t>
      </w:r>
      <w:r>
        <w:rPr>
          <w:rFonts w:ascii="Calibri" w:hAnsi="Calibri" w:cs="Calibri"/>
          <w:color w:val="1F497D"/>
          <w:sz w:val="22"/>
          <w:szCs w:val="22"/>
        </w:rPr>
        <w:t>), Mt Whaleback [MWB] waste (</w:t>
      </w:r>
      <w:r>
        <w:rPr>
          <w:rFonts w:ascii="Calibri" w:hAnsi="Calibri" w:cs="Calibri"/>
          <w:color w:val="1F497D"/>
          <w:sz w:val="22"/>
          <w:szCs w:val="22"/>
          <w:u w:val="single"/>
        </w:rPr>
        <w:t>G2</w:t>
      </w:r>
      <w:r>
        <w:rPr>
          <w:rFonts w:ascii="Calibri" w:hAnsi="Calibri" w:cs="Calibri"/>
          <w:color w:val="1F497D"/>
          <w:sz w:val="22"/>
          <w:szCs w:val="22"/>
        </w:rPr>
        <w:t>), Eastern Ridge [ER] waste (</w:t>
      </w:r>
      <w:r>
        <w:rPr>
          <w:rFonts w:ascii="Calibri" w:hAnsi="Calibri" w:cs="Calibri"/>
          <w:color w:val="1F497D"/>
          <w:sz w:val="22"/>
          <w:szCs w:val="22"/>
          <w:u w:val="single"/>
        </w:rPr>
        <w:t>G3</w:t>
      </w:r>
      <w:r>
        <w:rPr>
          <w:rFonts w:ascii="Calibri" w:hAnsi="Calibri" w:cs="Calibri"/>
          <w:color w:val="1F497D"/>
          <w:sz w:val="22"/>
          <w:szCs w:val="22"/>
        </w:rPr>
        <w:t>), topsoil / MWB 50:50 blend (</w:t>
      </w:r>
      <w:r>
        <w:rPr>
          <w:rFonts w:ascii="Calibri" w:hAnsi="Calibri" w:cs="Calibri"/>
          <w:color w:val="1F497D"/>
          <w:sz w:val="22"/>
          <w:szCs w:val="22"/>
          <w:u w:val="single"/>
        </w:rPr>
        <w:t>G4</w:t>
      </w:r>
      <w:r>
        <w:rPr>
          <w:rFonts w:ascii="Calibri" w:hAnsi="Calibri" w:cs="Calibri"/>
          <w:color w:val="1F497D"/>
          <w:sz w:val="22"/>
          <w:szCs w:val="22"/>
        </w:rPr>
        <w:t>), and topsoil / ER 50:50 blend (</w:t>
      </w:r>
      <w:r>
        <w:rPr>
          <w:rFonts w:ascii="Calibri" w:hAnsi="Calibri" w:cs="Calibri"/>
          <w:color w:val="1F497D"/>
          <w:sz w:val="22"/>
          <w:szCs w:val="22"/>
          <w:u w:val="single"/>
        </w:rPr>
        <w:t>G5</w:t>
      </w:r>
      <w:r>
        <w:rPr>
          <w:rFonts w:ascii="Calibri" w:hAnsi="Calibri" w:cs="Calibri"/>
          <w:color w:val="1F497D"/>
          <w:sz w:val="22"/>
          <w:szCs w:val="22"/>
        </w:rPr>
        <w:t>)) and 1 of 4 moisture regimes (“</w:t>
      </w:r>
      <w:proofErr w:type="spellStart"/>
      <w:r>
        <w:rPr>
          <w:rFonts w:ascii="Calibri" w:hAnsi="Calibri" w:cs="Calibri"/>
          <w:color w:val="1F497D"/>
          <w:sz w:val="22"/>
          <w:szCs w:val="22"/>
        </w:rPr>
        <w:t>well watered</w:t>
      </w:r>
      <w:proofErr w:type="spellEnd"/>
      <w:r>
        <w:rPr>
          <w:rFonts w:ascii="Calibri" w:hAnsi="Calibri" w:cs="Calibri"/>
          <w:color w:val="1F497D"/>
          <w:sz w:val="22"/>
          <w:szCs w:val="22"/>
        </w:rPr>
        <w:t>” (</w:t>
      </w:r>
      <w:r>
        <w:rPr>
          <w:rFonts w:ascii="Calibri" w:hAnsi="Calibri" w:cs="Calibri"/>
          <w:color w:val="1F497D"/>
          <w:sz w:val="22"/>
          <w:szCs w:val="22"/>
          <w:u w:val="single"/>
        </w:rPr>
        <w:t>W1</w:t>
      </w:r>
      <w:r>
        <w:rPr>
          <w:rFonts w:ascii="Calibri" w:hAnsi="Calibri" w:cs="Calibri"/>
          <w:color w:val="1F497D"/>
          <w:sz w:val="22"/>
          <w:szCs w:val="22"/>
        </w:rPr>
        <w:t>), 160mm consisting of 4 events of 40mm over 7d (</w:t>
      </w:r>
      <w:r>
        <w:rPr>
          <w:rFonts w:ascii="Calibri" w:hAnsi="Calibri" w:cs="Calibri"/>
          <w:color w:val="1F497D"/>
          <w:sz w:val="22"/>
          <w:szCs w:val="22"/>
          <w:u w:val="single"/>
        </w:rPr>
        <w:t>W2</w:t>
      </w:r>
      <w:r>
        <w:rPr>
          <w:rFonts w:ascii="Calibri" w:hAnsi="Calibri" w:cs="Calibri"/>
          <w:color w:val="1F497D"/>
          <w:sz w:val="22"/>
          <w:szCs w:val="22"/>
        </w:rPr>
        <w:t>), 120mm consisting of 4 events of 30mm over 7d (</w:t>
      </w:r>
      <w:r>
        <w:rPr>
          <w:rFonts w:ascii="Calibri" w:hAnsi="Calibri" w:cs="Calibri"/>
          <w:color w:val="1F497D"/>
          <w:sz w:val="22"/>
          <w:szCs w:val="22"/>
          <w:u w:val="single"/>
        </w:rPr>
        <w:t>W3</w:t>
      </w:r>
      <w:r>
        <w:rPr>
          <w:rFonts w:ascii="Calibri" w:hAnsi="Calibri" w:cs="Calibri"/>
          <w:color w:val="1F497D"/>
          <w:sz w:val="22"/>
          <w:szCs w:val="22"/>
        </w:rPr>
        <w:t>), and 80mm consisting of 4 events of 20mm over 7d (</w:t>
      </w:r>
      <w:r>
        <w:rPr>
          <w:rFonts w:ascii="Calibri" w:hAnsi="Calibri" w:cs="Calibri"/>
          <w:color w:val="1F497D"/>
          <w:sz w:val="22"/>
          <w:szCs w:val="22"/>
          <w:u w:val="single"/>
        </w:rPr>
        <w:t>W4</w:t>
      </w:r>
      <w:r>
        <w:rPr>
          <w:rFonts w:ascii="Calibri" w:hAnsi="Calibri" w:cs="Calibri"/>
          <w:color w:val="1F497D"/>
          <w:sz w:val="22"/>
          <w:szCs w:val="22"/>
        </w:rPr>
        <w:t>)). All sown seeds were covered with ca. 5mm of their respective soil type to ensure seeds were incorporated into the soil profile.</w:t>
      </w:r>
    </w:p>
    <w:p w:rsidR="00633BAF" w:rsidRDefault="00633BAF" w:rsidP="00633BAF">
      <w:pPr>
        <w:pStyle w:val="m-7936653213815224521msolistparagraph"/>
        <w:shd w:val="clear" w:color="auto" w:fill="FFFFFF"/>
        <w:spacing w:before="0" w:beforeAutospacing="0" w:after="0" w:afterAutospacing="0"/>
        <w:ind w:left="720"/>
        <w:rPr>
          <w:color w:val="222222"/>
        </w:rPr>
      </w:pPr>
      <w:r>
        <w:rPr>
          <w:rFonts w:ascii="Calibri" w:hAnsi="Calibri" w:cs="Calibri"/>
          <w:color w:val="1F497D"/>
          <w:sz w:val="22"/>
          <w:szCs w:val="22"/>
        </w:rPr>
        <w:t>-</w:t>
      </w:r>
      <w:r>
        <w:rPr>
          <w:color w:val="1F497D"/>
          <w:sz w:val="14"/>
          <w:szCs w:val="14"/>
        </w:rPr>
        <w:t>        </w:t>
      </w:r>
      <w:r>
        <w:rPr>
          <w:rFonts w:ascii="Calibri" w:hAnsi="Calibri" w:cs="Calibri"/>
          <w:b/>
          <w:bCs/>
          <w:color w:val="1F497D"/>
          <w:sz w:val="22"/>
          <w:szCs w:val="22"/>
        </w:rPr>
        <w:t>Response variables: </w:t>
      </w:r>
      <w:r>
        <w:rPr>
          <w:rFonts w:ascii="Calibri" w:hAnsi="Calibri" w:cs="Calibri"/>
          <w:color w:val="1F497D"/>
          <w:sz w:val="22"/>
          <w:szCs w:val="22"/>
        </w:rPr>
        <w:t xml:space="preserve">Germination, emergence total (summed alive and dead), emergence survival at 6 weeks (still alive), and early seedling </w:t>
      </w:r>
      <w:proofErr w:type="spellStart"/>
      <w:r>
        <w:rPr>
          <w:rFonts w:ascii="Calibri" w:hAnsi="Calibri" w:cs="Calibri"/>
          <w:color w:val="1F497D"/>
          <w:sz w:val="22"/>
          <w:szCs w:val="22"/>
        </w:rPr>
        <w:t>vigour</w:t>
      </w:r>
      <w:proofErr w:type="spellEnd"/>
      <w:r>
        <w:rPr>
          <w:rFonts w:ascii="Calibri" w:hAnsi="Calibri" w:cs="Calibri"/>
          <w:color w:val="1F497D"/>
          <w:sz w:val="22"/>
          <w:szCs w:val="22"/>
        </w:rPr>
        <w:t xml:space="preserve"> (dry weight biomass measured at 6 weeks after the commencement of the simulated rain).</w:t>
      </w:r>
    </w:p>
    <w:p w:rsidR="0068615C" w:rsidRDefault="0068615C">
      <w:bookmarkStart w:id="0" w:name="_GoBack"/>
      <w:bookmarkEnd w:id="0"/>
    </w:p>
    <w:sectPr w:rsidR="00686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BAF"/>
    <w:rsid w:val="00633BAF"/>
    <w:rsid w:val="00686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D5C66C-1A3D-4847-A84C-96414EAEB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7936653213815224521msolistparagraph">
    <w:name w:val="m_-7936653213815224521msolistparagraph"/>
    <w:basedOn w:val="Normal"/>
    <w:rsid w:val="00633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82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Shackelford</dc:creator>
  <cp:keywords/>
  <dc:description/>
  <cp:lastModifiedBy>Nancy Shackelford</cp:lastModifiedBy>
  <cp:revision>1</cp:revision>
  <dcterms:created xsi:type="dcterms:W3CDTF">2018-02-07T14:32:00Z</dcterms:created>
  <dcterms:modified xsi:type="dcterms:W3CDTF">2018-02-07T14:33:00Z</dcterms:modified>
</cp:coreProperties>
</file>