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4"/>
          <w:szCs w:val="24"/>
          <w14:ligatures w14:val="standardContextual"/>
        </w:rPr>
        <w:id w:val="-1298907695"/>
        <w:docPartObj>
          <w:docPartGallery w:val="Cover Pages"/>
          <w:docPartUnique/>
        </w:docPartObj>
      </w:sdtPr>
      <w:sdtContent>
        <w:p w14:paraId="73F6DB1C" w14:textId="196881DC" w:rsidR="008B0591" w:rsidRPr="00AC39B5" w:rsidRDefault="008B0591" w:rsidP="00161722">
          <w:pPr>
            <w:pStyle w:val="NoSpacing"/>
            <w:spacing w:before="1540" w:after="240"/>
            <w:jc w:val="cente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089FAB85" wp14:editId="7083D47F">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sz w:val="24"/>
              <w:szCs w:val="24"/>
            </w:rPr>
            <w:alias w:val="Title"/>
            <w:tag w:val=""/>
            <w:id w:val="1735040861"/>
            <w:placeholder>
              <w:docPart w:val="5CF0E789F3C4435BA0046ACF89AA1952"/>
            </w:placeholder>
            <w:dataBinding w:prefixMappings="xmlns:ns0='http://purl.org/dc/elements/1.1/' xmlns:ns1='http://schemas.openxmlformats.org/package/2006/metadata/core-properties' " w:xpath="/ns1:coreProperties[1]/ns0:title[1]" w:storeItemID="{6C3C8BC8-F283-45AE-878A-BAB7291924A1}"/>
            <w:text/>
          </w:sdtPr>
          <w:sdtContent>
            <w:p w14:paraId="2D75A693" w14:textId="5E0E5F56" w:rsidR="008B0591" w:rsidRPr="00AC39B5" w:rsidRDefault="00F07546" w:rsidP="00161722">
              <w:pPr>
                <w:pStyle w:val="NoSpacing"/>
                <w:pBdr>
                  <w:top w:val="single" w:sz="6" w:space="6" w:color="4472C4" w:themeColor="accent1"/>
                  <w:bottom w:val="single" w:sz="6" w:space="6" w:color="4472C4" w:themeColor="accent1"/>
                </w:pBdr>
                <w:spacing w:after="240"/>
                <w:jc w:val="center"/>
                <w:rPr>
                  <w:rFonts w:ascii="Times New Roman" w:eastAsiaTheme="majorEastAsia" w:hAnsi="Times New Roman" w:cs="Times New Roman"/>
                  <w:caps/>
                  <w:sz w:val="24"/>
                  <w:szCs w:val="24"/>
                </w:rPr>
              </w:pPr>
              <w:r w:rsidRPr="00AC39B5">
                <w:rPr>
                  <w:rFonts w:ascii="Times New Roman" w:eastAsiaTheme="majorEastAsia" w:hAnsi="Times New Roman" w:cs="Times New Roman"/>
                  <w:caps/>
                  <w:sz w:val="24"/>
                  <w:szCs w:val="24"/>
                </w:rPr>
                <w:t xml:space="preserve">Project: </w:t>
              </w:r>
              <w:r w:rsidR="00C476FF" w:rsidRPr="00AC39B5">
                <w:rPr>
                  <w:rFonts w:ascii="Times New Roman" w:eastAsiaTheme="majorEastAsia" w:hAnsi="Times New Roman" w:cs="Times New Roman"/>
                  <w:caps/>
                  <w:sz w:val="24"/>
                  <w:szCs w:val="24"/>
                </w:rPr>
                <w:t xml:space="preserve"> </w:t>
              </w:r>
              <w:r w:rsidR="00CD797F" w:rsidRPr="00AC39B5">
                <w:rPr>
                  <w:rFonts w:ascii="Times New Roman" w:eastAsiaTheme="majorEastAsia" w:hAnsi="Times New Roman" w:cs="Times New Roman"/>
                  <w:caps/>
                  <w:sz w:val="24"/>
                  <w:szCs w:val="24"/>
                </w:rPr>
                <w:t>exploratory data analysis of mimic-iv-note V2.2: cohort construction for multi-label icd-10 auto-coding</w:t>
              </w:r>
            </w:p>
          </w:sdtContent>
        </w:sdt>
        <w:p w14:paraId="15841ED6" w14:textId="77777777" w:rsidR="008B0591" w:rsidRPr="00AC39B5" w:rsidRDefault="008B0591" w:rsidP="00161722">
          <w:pPr>
            <w:pStyle w:val="NoSpacing"/>
            <w:spacing w:before="480"/>
            <w:jc w:val="center"/>
            <w:rPr>
              <w:rFonts w:ascii="Times New Roman" w:hAnsi="Times New Roman" w:cs="Times New Roman"/>
              <w:sz w:val="24"/>
              <w:szCs w:val="24"/>
            </w:rPr>
          </w:pPr>
          <w:r w:rsidRPr="00AC39B5">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C7BFB69" wp14:editId="0B689495">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44"/>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4-21T00:00:00Z">
                                    <w:dateFormat w:val="MMMM d, yyyy"/>
                                    <w:lid w:val="en-US"/>
                                    <w:storeMappedDataAs w:val="dateTime"/>
                                    <w:calendar w:val="gregorian"/>
                                  </w:date>
                                </w:sdtPr>
                                <w:sdtContent>
                                  <w:p w14:paraId="17075EE6" w14:textId="563AA9BC" w:rsidR="008B0591" w:rsidRDefault="00E4340C">
                                    <w:pPr>
                                      <w:pStyle w:val="NoSpacing"/>
                                      <w:spacing w:after="40"/>
                                      <w:jc w:val="center"/>
                                      <w:rPr>
                                        <w:caps/>
                                        <w:color w:val="4472C4" w:themeColor="accent1"/>
                                        <w:sz w:val="28"/>
                                        <w:szCs w:val="28"/>
                                      </w:rPr>
                                    </w:pPr>
                                    <w:r>
                                      <w:rPr>
                                        <w:caps/>
                                        <w:color w:val="4472C4" w:themeColor="accent1"/>
                                        <w:sz w:val="28"/>
                                        <w:szCs w:val="28"/>
                                      </w:rPr>
                                      <w:t>April 21, 2026</w:t>
                                    </w:r>
                                  </w:p>
                                </w:sdtContent>
                              </w:sdt>
                              <w:p w14:paraId="10D0589A" w14:textId="71353110" w:rsidR="008B0591"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BD2DF1">
                                      <w:rPr>
                                        <w:caps/>
                                        <w:color w:val="4472C4" w:themeColor="accent1"/>
                                      </w:rPr>
                                      <w:t>nancy tanaka</w:t>
                                    </w:r>
                                  </w:sdtContent>
                                </w:sdt>
                              </w:p>
                              <w:p w14:paraId="23E3C485" w14:textId="39DF9543" w:rsidR="008B0591"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4340C">
                                      <w:rPr>
                                        <w:color w:val="4472C4" w:themeColor="accent1"/>
                                      </w:rPr>
                                      <w:t>DATA EXPLORATORY AND ANALYSIS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C7BFB69" id="_x0000_t202" coordsize="21600,21600" o:spt="202" path="m,l,21600r21600,l21600,xe">
                    <v:stroke joinstyle="miter"/>
                    <v:path gradientshapeok="t" o:connecttype="rect"/>
                  </v:shapetype>
                  <v:shape id="Text Box 44"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4-21T00:00:00Z">
                              <w:dateFormat w:val="MMMM d, yyyy"/>
                              <w:lid w:val="en-US"/>
                              <w:storeMappedDataAs w:val="dateTime"/>
                              <w:calendar w:val="gregorian"/>
                            </w:date>
                          </w:sdtPr>
                          <w:sdtContent>
                            <w:p w14:paraId="17075EE6" w14:textId="563AA9BC" w:rsidR="008B0591" w:rsidRDefault="00E4340C">
                              <w:pPr>
                                <w:pStyle w:val="NoSpacing"/>
                                <w:spacing w:after="40"/>
                                <w:jc w:val="center"/>
                                <w:rPr>
                                  <w:caps/>
                                  <w:color w:val="4472C4" w:themeColor="accent1"/>
                                  <w:sz w:val="28"/>
                                  <w:szCs w:val="28"/>
                                </w:rPr>
                              </w:pPr>
                              <w:r>
                                <w:rPr>
                                  <w:caps/>
                                  <w:color w:val="4472C4" w:themeColor="accent1"/>
                                  <w:sz w:val="28"/>
                                  <w:szCs w:val="28"/>
                                </w:rPr>
                                <w:t>April 21, 2026</w:t>
                              </w:r>
                            </w:p>
                          </w:sdtContent>
                        </w:sdt>
                        <w:p w14:paraId="10D0589A" w14:textId="71353110" w:rsidR="008B0591"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BD2DF1">
                                <w:rPr>
                                  <w:caps/>
                                  <w:color w:val="4472C4" w:themeColor="accent1"/>
                                </w:rPr>
                                <w:t>nancy tanaka</w:t>
                              </w:r>
                            </w:sdtContent>
                          </w:sdt>
                        </w:p>
                        <w:p w14:paraId="23E3C485" w14:textId="39DF9543" w:rsidR="008B0591"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4340C">
                                <w:rPr>
                                  <w:color w:val="4472C4" w:themeColor="accent1"/>
                                </w:rPr>
                                <w:t>DATA EXPLORATORY AND ANALYSIS</w:t>
                              </w:r>
                            </w:sdtContent>
                          </w:sdt>
                        </w:p>
                      </w:txbxContent>
                    </v:textbox>
                    <w10:wrap anchorx="margin" anchory="page"/>
                  </v:shape>
                </w:pict>
              </mc:Fallback>
            </mc:AlternateContent>
          </w:r>
          <w:r w:rsidRPr="00AC39B5">
            <w:rPr>
              <w:rFonts w:ascii="Times New Roman" w:hAnsi="Times New Roman" w:cs="Times New Roman"/>
              <w:noProof/>
              <w:sz w:val="24"/>
              <w:szCs w:val="24"/>
            </w:rPr>
            <w:drawing>
              <wp:inline distT="0" distB="0" distL="0" distR="0" wp14:anchorId="4618DCC3" wp14:editId="42DA0D5D">
                <wp:extent cx="758952" cy="478932"/>
                <wp:effectExtent l="0" t="0" r="3175" b="0"/>
                <wp:docPr id="14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395765A" w14:textId="31DD1F0B" w:rsidR="0079390B" w:rsidRPr="00AC39B5" w:rsidRDefault="008B0591" w:rsidP="00AD7780">
          <w:pPr>
            <w:spacing w:line="240" w:lineRule="auto"/>
            <w:rPr>
              <w:rFonts w:ascii="Times New Roman" w:eastAsiaTheme="majorEastAsia" w:hAnsi="Times New Roman" w:cs="Times New Roman"/>
              <w:sz w:val="24"/>
              <w:szCs w:val="24"/>
            </w:rPr>
          </w:pPr>
          <w:r w:rsidRPr="00AC39B5">
            <w:rPr>
              <w:rFonts w:ascii="Times New Roman" w:hAnsi="Times New Roman" w:cs="Times New Roman"/>
              <w:sz w:val="24"/>
              <w:szCs w:val="24"/>
            </w:rPr>
            <w:br w:type="page"/>
          </w:r>
        </w:p>
      </w:sdtContent>
    </w:sdt>
    <w:p w14:paraId="4B362DA8" w14:textId="324C9498" w:rsidR="00AF7E1E"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Abstract</w:t>
      </w:r>
    </w:p>
    <w:p w14:paraId="726AA63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Automated ICD coding remains a high-friction task in clinical operations because diagnosis assignment still depends heavily on manual review of long discharge summaries. This study presents exploratory data analysis and cohort construction for a multi-label ICD-10 auto-coding pipeline using MIMIC-IV-Note v2.2 discharge summaries joined to MIMIC-IV v3.1 Hosp admissions and diagnoses. The version mismatch is intentional: MIMIC-IV-Note v2.2 is the only public note release as of April 2026, whereas Hosp v3.1 includes corrected diagnosis tables. Using hadm_id as the stable encounter key, the final cohort is defined as the intersection of discharge summaries, admissions, and ICD-10 diagnosis records after note-length and deduplication checks. The resulting modelable cohort contains 122,288 admissions — roughly 10.75 times the size of the MIMIC-III top-50 benchmark cohort reported by Mullenbach et al. (2018), which used 8,067 training, 1,574 validation, and 1,730 test discharge summaries. Label concentration is favorable: the top-50 ICD-10 codes cover 91.04% of admissions despite a long tail of 19,440 distinct codes. Two findings determine the modeling strategy. First, 44.83% of patients have more than one admission, making patient-level splits mandatory. Second, discharge summaries are too long for a single BERT window, with median length 1,501 tokens and 90th percentile length 2,447 tokens. De-identification markers account for 3.66% of tokens. Taken together, these results justify a chunked Bio_ClinicalBERT approach, with Longformer reserved as a fallback rather than a first-line model. For practice, the implication is straightforward: the cohort is large enough and concentrated enough to support immediate baseline training, but only under leakage-safe splits and chunk-aware modeling.</w:t>
      </w:r>
      <w:r w:rsidRPr="00AC39B5">
        <w:rPr>
          <w:rStyle w:val="VerbatimChar"/>
          <w:rFonts w:ascii="Times New Roman" w:hAnsi="Times New Roman" w:cs="Times New Roman"/>
        </w:rPr>
      </w:r>
      <w:r w:rsidRPr="00AC39B5">
        <w:rPr>
          <w:rFonts w:ascii="Times New Roman" w:hAnsi="Times New Roman" w:cs="Times New Roman"/>
        </w:rPr>
      </w:r>
    </w:p>
    <w:p w14:paraId="0076829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Keywords: clinical natural language processing; automated medical coding; ICD-10 classification; multi-label classification; MIMIC-IV; discharge summaries; Bio_ClinicalBERT</w:t>
      </w:r>
    </w:p>
    <w:p w14:paraId="3EF7C4EA" w14:textId="10A1624D" w:rsidR="00AF7E1E"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t>Introduction</w:t>
      </w:r>
    </w:p>
    <w:p w14:paraId="66ED090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ICD coding is a necessary but inefficient part of the healthcare revenue cycle. Clinical coders must translate long-form physician documentation into standardized diagnosis codes for billing, utilization review, quality reporting, and downstream analytics. The process is expensive, slow, and inconsistently applied under real-world workload pressure. A coder-assist model that ranks likely codes from discharge summaries therefore has operational value, but only if it is built on a defensible cohort and evaluated with leakage controls.</w:t>
      </w:r>
    </w:p>
    <w:p w14:paraId="2E816C7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Mullenbach et al. (2018) established the multi-label ICD-coding task on MIMIC-III/ICD-9 top-50 with the CAML architecture. That paper mattered because it gave the field a common task definition and reporting frame — Micro F1, Macro F1, P@k — not because the architecture remains state of the art. The field has since moved toward domain-adapted transformers, label-aware attention, and long-context methods, but the core problem has not changed: clinical notes are long, labels are imbalanced, and reported gains often collapse when cohort construction is sloppy.</w:t>
      </w:r>
    </w:p>
    <w:p w14:paraId="362A561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This study focuses on a more recent benchmark setup: MIMIC-IV-Note v2.2 discharge summaries joined with MIMIC-IV v3.1 hospital diagnoses, filtered to ICD-10 admissions and a top-50 label space. The immediate objective is not to </w:t>
      </w:r>
      <w:proofErr w:type="gramStart"/>
      <w:r w:rsidRPr="00AC39B5">
        <w:rPr>
          <w:rFonts w:ascii="Times New Roman" w:hAnsi="Times New Roman" w:cs="Times New Roman"/>
        </w:rPr>
        <w:t>report</w:t>
      </w:r>
      <w:proofErr w:type="gramEnd"/>
      <w:r w:rsidRPr="00AC39B5">
        <w:rPr>
          <w:rFonts w:ascii="Times New Roman" w:hAnsi="Times New Roman" w:cs="Times New Roman"/>
        </w:rPr>
        <w:t xml:space="preserve"> model performance. It is to determine whether the available data support a credible auto-coding benchmark and to surface the non-negotiable design constraints before training begins.</w:t>
      </w:r>
    </w:p>
    <w:p w14:paraId="1136645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central research question is whether a chunked Bio_ClinicalBERT pipeline trained on MIMIC-IV/ICD-10 produces clinically useful predictions with rigorous MLOps discipline — patient-level splits, per-label thresholds, calibration analysis, and reproducibility verified to bit-exactness. This paper therefore contributes the part that weak project reports usually skip: cohort construction logic, label-space characterization, note-length analysis, split methodology, and the EDA evidence used to justify the downstream modeling plan.</w:t>
      </w:r>
      <w:proofErr w:type="gramStart"/>
      <w:r w:rsidRPr="00AC39B5">
        <w:rPr>
          <w:rFonts w:ascii="Times New Roman" w:hAnsi="Times New Roman" w:cs="Times New Roman"/>
        </w:rPr>
      </w:r>
      <w:proofErr w:type="gramEnd"/>
      <w:r w:rsidRPr="00AC39B5">
        <w:rPr>
          <w:rFonts w:ascii="Times New Roman" w:hAnsi="Times New Roman" w:cs="Times New Roman"/>
        </w:rPr>
      </w:r>
    </w:p>
    <w:p w14:paraId="07D0E113" w14:textId="30167BD2" w:rsidR="0067416A"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t>Literature Review</w:t>
      </w:r>
    </w:p>
    <w:p w14:paraId="4EA2EDA4"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2.1 Automated Medical Coding</w:t>
      </w:r>
    </w:p>
    <w:p w14:paraId="3F9C1A6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Mullenbach et al. (2018) is the methodological antecedent of this project: top-50 ICD-9 coding from MIMIC-III discharge summaries using the CAML architecture. That study standardized the multi-label task definition and reporting conventions — Micro F1, Macro F1, and precision at rank — which this work inherits. Direct numerical comparison is not methodologically valid because this work targets MIMIC-IV/ICD-10 (different dataset, different coding system, different cohort, different label space). See DECISIONS.md 2026-04-26 for the formal reframe.</w:t>
      </w:r>
    </w:p>
    <w:p w14:paraId="62AEC626"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Later work broadened the technical landscape through label-aware attention mechanisms, transformer encoders, hierarchical coding strategies, and methods that incorporate code descriptions or retrieval. Those advances matter, but they do not remove the need for a clean benchmark setup. The position taken in this project is deliberately conservative: first define a defensible MIMIC-IV ICD-10 cohort, then compare a chunked transformer against a classical baseline before considering more elaborate modeling choices.</w:t>
      </w:r>
    </w:p>
    <w:p w14:paraId="42D79267" w14:textId="77777777" w:rsidR="007D15FF" w:rsidRPr="00AC39B5" w:rsidRDefault="007D15FF" w:rsidP="007E52E4">
      <w:pPr>
        <w:pStyle w:val="Heading2"/>
        <w:rPr>
          <w:rFonts w:ascii="Times New Roman" w:hAnsi="Times New Roman" w:cs="Times New Roman"/>
          <w:sz w:val="24"/>
          <w:szCs w:val="24"/>
          <w:lang w:val="fr-FR"/>
        </w:rPr>
      </w:pPr>
      <w:r w:rsidRPr="00AC39B5">
        <w:rPr>
          <w:rFonts w:ascii="Times New Roman" w:hAnsi="Times New Roman" w:cs="Times New Roman"/>
          <w:sz w:val="24"/>
          <w:szCs w:val="24"/>
          <w:lang w:val="fr-FR"/>
        </w:rPr>
        <w:t>2.2 Clinical Language Models</w:t>
      </w:r>
    </w:p>
    <w:p w14:paraId="29565F0A"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lang w:val="fr-FR"/>
        </w:rPr>
        <w:t>Devlin et al. </w:t>
      </w:r>
      <w:r w:rsidRPr="00AC39B5">
        <w:rPr>
          <w:rFonts w:ascii="Times New Roman" w:hAnsi="Times New Roman" w:cs="Times New Roman"/>
        </w:rPr>
        <w:t>(2019) established BERT as the dominant pretrain-and-finetune framework for NLP. For this project, the key point is not the pretraining objective itself but the input constraint: standard BERT processes sequences up to 512 tokens. In discharge-summary classification, that limit is consequential because it forces either truncation or some form of document segmentation.</w:t>
      </w:r>
    </w:p>
    <w:p w14:paraId="7188D3C7"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Alsentzer et al. (2019) adapted BERT to clinical language through continued pretraining on MIMIC notes, producing Bio_ClinicalBERT. That makes it a sensible primary encoder for this study. The choice is practical rather than fashionable: a clinically adapted model is more appropriate than general-domain BERT, and it can be deployed in a chunked setup without immediately paying the computational cost of </w:t>
      </w:r>
      <w:proofErr w:type="gramStart"/>
      <w:r w:rsidRPr="00AC39B5">
        <w:rPr>
          <w:rFonts w:ascii="Times New Roman" w:hAnsi="Times New Roman" w:cs="Times New Roman"/>
        </w:rPr>
        <w:t>a long</w:t>
      </w:r>
      <w:proofErr w:type="gramEnd"/>
      <w:r w:rsidRPr="00AC39B5">
        <w:rPr>
          <w:rFonts w:ascii="Times New Roman" w:hAnsi="Times New Roman" w:cs="Times New Roman"/>
        </w:rPr>
        <w:t>-context architecture.</w:t>
      </w:r>
    </w:p>
    <w:p w14:paraId="29316EA2"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Beltagy et al. (2020) introduced Longformer </w:t>
      </w:r>
      <w:proofErr w:type="gramStart"/>
      <w:r w:rsidRPr="00AC39B5">
        <w:rPr>
          <w:rFonts w:ascii="Times New Roman" w:hAnsi="Times New Roman" w:cs="Times New Roman"/>
        </w:rPr>
        <w:t>as a way to</w:t>
      </w:r>
      <w:proofErr w:type="gramEnd"/>
      <w:r w:rsidRPr="00AC39B5">
        <w:rPr>
          <w:rFonts w:ascii="Times New Roman" w:hAnsi="Times New Roman" w:cs="Times New Roman"/>
        </w:rPr>
        <w:t xml:space="preserve"> extend usable context through sliding-window attention. That design is relevant here because discharge summaries are long, but the trade-off is straightforward: longer context comes with greater training cost. Accordingly, this paper treats Longformer as a conditional escalation path rather than the default starting point.</w:t>
      </w:r>
    </w:p>
    <w:p w14:paraId="039BD525"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2.3 The MIMIC-IV Dataset</w:t>
      </w:r>
    </w:p>
    <w:p w14:paraId="300CEF1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MIMIC-IV Hosp v3.1 supplies the structured hospital data used here, including admissions, patient attributes, and diagnosis assignments across the ICD-9 to ICD-10 transition period (Johnson et al., 2023a). The reason for preferring v3.1 is simple: the release includes corrections </w:t>
      </w:r>
      <w:r w:rsidRPr="00AC39B5">
        <w:rPr>
          <w:rFonts w:ascii="Times New Roman" w:hAnsi="Times New Roman" w:cs="Times New Roman"/>
        </w:rPr>
        <w:lastRenderedPageBreak/>
        <w:t>to the diagnosis tables, so using an older structured extract would preserve known defects without any compensating advantage.</w:t>
      </w:r>
    </w:p>
    <w:p w14:paraId="7B3E2717"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MIMIC-IV-Note v2.2 supplies the free-text notes through PhysioNet (Johnson et al., 2023b). As of April 2026, it remains the only public note release, which forces a version mismatch with the structured hospital tables. That mismatch is acceptable in this setting because </w:t>
      </w:r>
      <w:r w:rsidRPr="00AC39B5">
        <w:rPr>
          <w:rStyle w:val="VerbatimChar"/>
          <w:rFonts w:ascii="Times New Roman" w:hAnsi="Times New Roman" w:cs="Times New Roman"/>
        </w:rPr>
        <w:t>hadm_id</w:t>
      </w:r>
      <w:r w:rsidRPr="00AC39B5">
        <w:rPr>
          <w:rFonts w:ascii="Times New Roman" w:hAnsi="Times New Roman" w:cs="Times New Roman"/>
        </w:rPr>
        <w:t xml:space="preserve"> remains a stable encounter key across releases. The notes are deidentified through redaction and date shifting, which protects privacy but also introduces </w:t>
      </w:r>
      <w:proofErr w:type="gramStart"/>
      <w:r w:rsidRPr="00AC39B5">
        <w:rPr>
          <w:rFonts w:ascii="Times New Roman" w:hAnsi="Times New Roman" w:cs="Times New Roman"/>
        </w:rPr>
        <w:t>analysis artifacts</w:t>
      </w:r>
      <w:proofErr w:type="gramEnd"/>
      <w:r w:rsidRPr="00AC39B5">
        <w:rPr>
          <w:rFonts w:ascii="Times New Roman" w:hAnsi="Times New Roman" w:cs="Times New Roman"/>
        </w:rPr>
        <w:t xml:space="preserve"> that must be handled explicitly.</w:t>
      </w:r>
    </w:p>
    <w:p w14:paraId="1A6E8B5A"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Relative to MIMIC-III, MIMIC-IV offers a newer cohort, ICD-10-inclusive diagnoses, and post-2015 admissions that capture more contemporary documentation patterns and coding behavior. That makes it a better setting for a modern portfolio-grade ICD coding system, provided the cohort is constructed carefully.</w:t>
      </w:r>
    </w:p>
    <w:p w14:paraId="0517FEA9"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2.4 Responsible Medical AI Documentation</w:t>
      </w:r>
    </w:p>
    <w:p w14:paraId="448A15D1"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Model Cards (Mitchell et al., 2019) and Data Cards (Pushkarna et al., 2022) are used here as reporting frameworks rather than as abstract ethics citations. Their relevance is direct: the cohort coverage, subgroup representation, and methodological limitations documented in this EDA are the evidence base for later model and data documentation. Without that groundwork, any “responsible AI” section would be superficial.</w:t>
      </w:r>
    </w:p>
    <w:p w14:paraId="424D210E" w14:textId="4E17BED7" w:rsidR="00EC45B0" w:rsidRPr="00AC39B5" w:rsidRDefault="001468EB" w:rsidP="007D15FF">
      <w:pPr>
        <w:pStyle w:val="Heading1"/>
        <w:rPr>
          <w:rFonts w:ascii="Times New Roman" w:hAnsi="Times New Roman" w:cs="Times New Roman"/>
          <w:sz w:val="24"/>
          <w:szCs w:val="24"/>
        </w:rPr>
      </w:pPr>
      <w:r w:rsidRPr="00AC39B5">
        <w:rPr>
          <w:rFonts w:ascii="Times New Roman" w:hAnsi="Times New Roman" w:cs="Times New Roman"/>
          <w:sz w:val="24"/>
          <w:szCs w:val="24"/>
        </w:rPr>
        <w:t>Methods</w:t>
      </w:r>
    </w:p>
    <w:p w14:paraId="3B2252E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3.1 Data Source</w:t>
      </w:r>
    </w:p>
    <w:p w14:paraId="4FB75431"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This analysis draws on two MIMIC resources. The text component is MIMIC-IV-Note v2.2, which contains 331,793 discharge summaries keyed by </w:t>
      </w:r>
      <w:r w:rsidRPr="00AC39B5">
        <w:rPr>
          <w:rStyle w:val="VerbatimChar"/>
          <w:rFonts w:ascii="Times New Roman" w:hAnsi="Times New Roman" w:cs="Times New Roman"/>
        </w:rPr>
        <w:t>subject_id</w:t>
      </w:r>
      <w:r w:rsidRPr="00AC39B5">
        <w:rPr>
          <w:rFonts w:ascii="Times New Roman" w:hAnsi="Times New Roman" w:cs="Times New Roman"/>
        </w:rPr>
        <w:t xml:space="preserve"> and </w:t>
      </w:r>
      <w:r w:rsidRPr="00AC39B5">
        <w:rPr>
          <w:rStyle w:val="VerbatimChar"/>
          <w:rFonts w:ascii="Times New Roman" w:hAnsi="Times New Roman" w:cs="Times New Roman"/>
        </w:rPr>
        <w:t>hadm_id</w:t>
      </w:r>
      <w:r w:rsidRPr="00AC39B5">
        <w:rPr>
          <w:rFonts w:ascii="Times New Roman" w:hAnsi="Times New Roman" w:cs="Times New Roman"/>
        </w:rPr>
        <w:t xml:space="preserve"> and includes fields such as </w:t>
      </w:r>
      <w:r w:rsidRPr="00AC39B5">
        <w:rPr>
          <w:rStyle w:val="VerbatimChar"/>
          <w:rFonts w:ascii="Times New Roman" w:hAnsi="Times New Roman" w:cs="Times New Roman"/>
        </w:rPr>
        <w:t>note_id</w:t>
      </w:r>
      <w:r w:rsidRPr="00AC39B5">
        <w:rPr>
          <w:rFonts w:ascii="Times New Roman" w:hAnsi="Times New Roman" w:cs="Times New Roman"/>
        </w:rPr>
        <w:t xml:space="preserve">, </w:t>
      </w:r>
      <w:r w:rsidRPr="00AC39B5">
        <w:rPr>
          <w:rStyle w:val="VerbatimChar"/>
          <w:rFonts w:ascii="Times New Roman" w:hAnsi="Times New Roman" w:cs="Times New Roman"/>
        </w:rPr>
        <w:t>note_type</w:t>
      </w:r>
      <w:r w:rsidRPr="00AC39B5">
        <w:rPr>
          <w:rFonts w:ascii="Times New Roman" w:hAnsi="Times New Roman" w:cs="Times New Roman"/>
        </w:rPr>
        <w:t xml:space="preserve">, </w:t>
      </w:r>
      <w:r w:rsidRPr="00AC39B5">
        <w:rPr>
          <w:rStyle w:val="VerbatimChar"/>
          <w:rFonts w:ascii="Times New Roman" w:hAnsi="Times New Roman" w:cs="Times New Roman"/>
        </w:rPr>
        <w:t>note_seq</w:t>
      </w:r>
      <w:r w:rsidRPr="00AC39B5">
        <w:rPr>
          <w:rFonts w:ascii="Times New Roman" w:hAnsi="Times New Roman" w:cs="Times New Roman"/>
        </w:rPr>
        <w:t xml:space="preserve">, </w:t>
      </w:r>
      <w:r w:rsidRPr="00AC39B5">
        <w:rPr>
          <w:rStyle w:val="VerbatimChar"/>
          <w:rFonts w:ascii="Times New Roman" w:hAnsi="Times New Roman" w:cs="Times New Roman"/>
        </w:rPr>
        <w:t>charttime</w:t>
      </w:r>
      <w:r w:rsidRPr="00AC39B5">
        <w:rPr>
          <w:rFonts w:ascii="Times New Roman" w:hAnsi="Times New Roman" w:cs="Times New Roman"/>
        </w:rPr>
        <w:t xml:space="preserve">, and raw text. For this release, the discharge-note subset is operationally simple because the note type is already restricted to </w:t>
      </w:r>
      <w:r w:rsidRPr="00AC39B5">
        <w:rPr>
          <w:rStyle w:val="VerbatimChar"/>
          <w:rFonts w:ascii="Times New Roman" w:hAnsi="Times New Roman" w:cs="Times New Roman"/>
        </w:rPr>
        <w:t>DS</w:t>
      </w:r>
      <w:r w:rsidRPr="00AC39B5">
        <w:rPr>
          <w:rFonts w:ascii="Times New Roman" w:hAnsi="Times New Roman" w:cs="Times New Roman"/>
        </w:rPr>
        <w:t>.</w:t>
      </w:r>
    </w:p>
    <w:p w14:paraId="4725B7F6"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The structured component is MIMIC-IV Hosp v3.1, which contributes admissions, patient attributes, and diagnosis records. The admissions table contains 546,028 rows, the patients table 364,627 rows, and </w:t>
      </w:r>
      <w:r w:rsidRPr="00AC39B5">
        <w:rPr>
          <w:rStyle w:val="VerbatimChar"/>
          <w:rFonts w:ascii="Times New Roman" w:hAnsi="Times New Roman" w:cs="Times New Roman"/>
        </w:rPr>
        <w:t>diagnoses_icd</w:t>
      </w:r>
      <w:r w:rsidRPr="00AC39B5">
        <w:rPr>
          <w:rFonts w:ascii="Times New Roman" w:hAnsi="Times New Roman" w:cs="Times New Roman"/>
        </w:rPr>
        <w:t xml:space="preserve"> 6,364,488 rows spanning both ICD-9 and ICD-10 eras. Joining Note v2.2 with Hosp v3.1 is an intentional design decision: the note release lags, but v3.1 contains corrected diagnosis data and still shares the stable </w:t>
      </w:r>
      <w:r w:rsidRPr="00AC39B5">
        <w:rPr>
          <w:rStyle w:val="VerbatimChar"/>
          <w:rFonts w:ascii="Times New Roman" w:hAnsi="Times New Roman" w:cs="Times New Roman"/>
        </w:rPr>
        <w:t>hadm_id</w:t>
      </w:r>
      <w:r w:rsidRPr="00AC39B5">
        <w:rPr>
          <w:rFonts w:ascii="Times New Roman" w:hAnsi="Times New Roman" w:cs="Times New Roman"/>
        </w:rPr>
        <w:t xml:space="preserve"> encounter key.</w:t>
      </w:r>
    </w:p>
    <w:p w14:paraId="0D0F423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The source data are deidentified through patient-level date shifting and capped age reporting, with </w:t>
      </w:r>
      <w:r w:rsidRPr="00AC39B5">
        <w:rPr>
          <w:rStyle w:val="VerbatimChar"/>
          <w:rFonts w:ascii="Times New Roman" w:hAnsi="Times New Roman" w:cs="Times New Roman"/>
        </w:rPr>
        <w:t>anchor_age</w:t>
      </w:r>
      <w:r w:rsidRPr="00AC39B5">
        <w:rPr>
          <w:rFonts w:ascii="Times New Roman" w:hAnsi="Times New Roman" w:cs="Times New Roman"/>
        </w:rPr>
        <w:t xml:space="preserve"> top-coded at 89. Those protections matter for privacy, but they also constrain temporal interpretation and compress the oldest age strata. This work assumes compliance with MIMIC credentialing and PhysioNet data-use terms and does not attempt any re-identification.</w:t>
      </w:r>
    </w:p>
    <w:p w14:paraId="6CF8A9FE"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3.2 Data Preparation and Analysis Strategies</w:t>
      </w:r>
    </w:p>
    <w:p w14:paraId="06F853CD"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Schema validation was performed before cohort construction to detect type instability and parsing failures early. Timestamp fields were successfully parsed by the Arrow CSV reader with one notable exception: </w:t>
      </w:r>
      <w:r w:rsidRPr="00AC39B5">
        <w:rPr>
          <w:rStyle w:val="VerbatimChar"/>
          <w:rFonts w:ascii="Times New Roman" w:hAnsi="Times New Roman" w:cs="Times New Roman"/>
        </w:rPr>
        <w:t>patients.dod</w:t>
      </w:r>
      <w:r w:rsidRPr="00AC39B5">
        <w:rPr>
          <w:rFonts w:ascii="Times New Roman" w:hAnsi="Times New Roman" w:cs="Times New Roman"/>
        </w:rPr>
        <w:t xml:space="preserve">, where a high null rate defeated inference and required deferral to a later typed cast stage. Numeric fields remained stable, and no evidence was found </w:t>
      </w:r>
      <w:r w:rsidRPr="00AC39B5">
        <w:rPr>
          <w:rFonts w:ascii="Times New Roman" w:hAnsi="Times New Roman" w:cs="Times New Roman"/>
        </w:rPr>
        <w:lastRenderedPageBreak/>
        <w:t>that core hospital features had been silently coerced to strings, which matters because that kind of ingestion bug can poison downstream joins and summary statistics.</w:t>
      </w:r>
    </w:p>
    <w:p w14:paraId="7FB38EC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Cleaning rules were intentionally narrow. The note corpus was restricted to discharge summaries only. De-identification markers were preserved for analysis but collapsed into a measurable artifact class rather than treated as meaningful language. Deduplication by </w:t>
      </w:r>
      <w:r w:rsidRPr="00AC39B5">
        <w:rPr>
          <w:rStyle w:val="VerbatimChar"/>
          <w:rFonts w:ascii="Times New Roman" w:hAnsi="Times New Roman" w:cs="Times New Roman"/>
        </w:rPr>
        <w:t>hadm_id</w:t>
      </w:r>
      <w:r w:rsidRPr="00AC39B5">
        <w:rPr>
          <w:rFonts w:ascii="Times New Roman" w:hAnsi="Times New Roman" w:cs="Times New Roman"/>
        </w:rPr>
        <w:t xml:space="preserve"> was checked but proved to be a no-op because this release is already effectively deduplicated. A minimum length threshold of 100 whitespace tokens was applied to remove clearly non-informative or malformed note bodies.</w:t>
      </w:r>
    </w:p>
    <w:p w14:paraId="26784D3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Cohort construction then applied the actual modeling filter: retain only admissions that appear in all three required sets, namely discharge summaries, hospital admissions, and ICD-10 diagnosis records. The final modelable cohort contains 122,288 admissions. Most attrition is not due to broken joins or missing keys. It is due to design. The structured hospital tables include mixed ICD-9 and ICD-10 eras, so restricting to ICD-10 admissions removes a large share of the text inventory by construction. Version drift between note and structured releases contributes negligibly, at 0.018%, while the ICD-era filter explains 63.14% of the reduction.</w:t>
      </w:r>
    </w:p>
    <w:p w14:paraId="70362AF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Table 3.1. Cohort attrition waterfall.</w:t>
      </w:r>
    </w:p>
    <w:tbl>
      <w:tblPr>
        <w:tblStyle w:val="Table"/>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643"/>
        <w:gridCol w:w="3719"/>
        <w:gridCol w:w="1467"/>
        <w:gridCol w:w="3519"/>
      </w:tblGrid>
      <w:tr w:rsidR="002E2565" w:rsidRPr="00AC39B5" w14:paraId="4E7B8ADD" w14:textId="77777777" w:rsidTr="00E02147">
        <w:tc>
          <w:tcPr>
            <w:tcW w:w="0" w:type="auto"/>
            <w:vAlign w:val="bottom"/>
          </w:tcPr>
          <w:p w14:paraId="691A26BB"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Step</w:t>
            </w:r>
          </w:p>
        </w:tc>
        <w:tc>
          <w:tcPr>
            <w:tcW w:w="0" w:type="auto"/>
            <w:vAlign w:val="bottom"/>
          </w:tcPr>
          <w:p w14:paraId="2B4CC35B"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Description</w:t>
            </w:r>
          </w:p>
        </w:tc>
        <w:tc>
          <w:tcPr>
            <w:tcW w:w="0" w:type="auto"/>
            <w:vAlign w:val="bottom"/>
          </w:tcPr>
          <w:p w14:paraId="3AEF315B"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N admissions</w:t>
            </w:r>
          </w:p>
        </w:tc>
        <w:tc>
          <w:tcPr>
            <w:tcW w:w="0" w:type="auto"/>
            <w:vAlign w:val="bottom"/>
          </w:tcPr>
          <w:p w14:paraId="05454BDA"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Δ</w:t>
            </w:r>
          </w:p>
        </w:tc>
      </w:tr>
      <w:tr w:rsidR="002E2565" w:rsidRPr="00AC39B5" w14:paraId="04C87782" w14:textId="77777777" w:rsidTr="00E02147">
        <w:tc>
          <w:tcPr>
            <w:tcW w:w="0" w:type="auto"/>
          </w:tcPr>
          <w:p w14:paraId="748B219D"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0</w:t>
            </w:r>
          </w:p>
        </w:tc>
        <w:tc>
          <w:tcPr>
            <w:tcW w:w="0" w:type="auto"/>
          </w:tcPr>
          <w:p w14:paraId="1895825E"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Raw discharge notes</w:t>
            </w:r>
          </w:p>
        </w:tc>
        <w:tc>
          <w:tcPr>
            <w:tcW w:w="0" w:type="auto"/>
          </w:tcPr>
          <w:p w14:paraId="3AB70D3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1B82D2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w:t>
            </w:r>
          </w:p>
        </w:tc>
      </w:tr>
      <w:tr w:rsidR="002E2565" w:rsidRPr="00AC39B5" w14:paraId="1CE84FB1" w14:textId="77777777" w:rsidTr="00E02147">
        <w:tc>
          <w:tcPr>
            <w:tcW w:w="0" w:type="auto"/>
          </w:tcPr>
          <w:p w14:paraId="199D67AF"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1</w:t>
            </w:r>
          </w:p>
        </w:tc>
        <w:tc>
          <w:tcPr>
            <w:tcW w:w="0" w:type="auto"/>
          </w:tcPr>
          <w:p w14:paraId="469F538E" w14:textId="77777777" w:rsidR="002E2565" w:rsidRPr="00AC39B5" w:rsidRDefault="002E2565" w:rsidP="00E02147">
            <w:pPr>
              <w:pStyle w:val="Compact"/>
              <w:rPr>
                <w:rFonts w:ascii="Times New Roman" w:hAnsi="Times New Roman" w:cs="Times New Roman"/>
              </w:rPr>
            </w:pPr>
            <w:r w:rsidRPr="00AC39B5">
              <w:rPr>
                <w:rStyle w:val="VerbatimChar"/>
                <w:rFonts w:ascii="Times New Roman" w:hAnsi="Times New Roman" w:cs="Times New Roman"/>
              </w:rPr>
              <w:t>note_type == "DS"</w:t>
            </w:r>
            <w:r w:rsidRPr="00AC39B5">
              <w:rPr>
                <w:rFonts w:ascii="Times New Roman" w:hAnsi="Times New Roman" w:cs="Times New Roman"/>
              </w:rPr>
              <w:t xml:space="preserve"> filter</w:t>
            </w:r>
          </w:p>
        </w:tc>
        <w:tc>
          <w:tcPr>
            <w:tcW w:w="0" w:type="auto"/>
          </w:tcPr>
          <w:p w14:paraId="6955442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072476A5"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0 (no-op)</w:t>
            </w:r>
          </w:p>
        </w:tc>
      </w:tr>
      <w:tr w:rsidR="002E2565" w:rsidRPr="00AC39B5" w14:paraId="444E209A" w14:textId="77777777" w:rsidTr="00E02147">
        <w:tc>
          <w:tcPr>
            <w:tcW w:w="0" w:type="auto"/>
          </w:tcPr>
          <w:p w14:paraId="1745F22D"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2</w:t>
            </w:r>
          </w:p>
        </w:tc>
        <w:tc>
          <w:tcPr>
            <w:tcW w:w="0" w:type="auto"/>
          </w:tcPr>
          <w:p w14:paraId="716856A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 xml:space="preserve">Deduplicate by </w:t>
            </w:r>
            <w:r w:rsidRPr="00AC39B5">
              <w:rPr>
                <w:rStyle w:val="VerbatimChar"/>
                <w:rFonts w:ascii="Times New Roman" w:hAnsi="Times New Roman" w:cs="Times New Roman"/>
              </w:rPr>
              <w:t>hadm_id</w:t>
            </w:r>
            <w:r w:rsidRPr="00AC39B5">
              <w:rPr>
                <w:rFonts w:ascii="Times New Roman" w:hAnsi="Times New Roman" w:cs="Times New Roman"/>
              </w:rPr>
              <w:t xml:space="preserve"> on latest </w:t>
            </w:r>
            <w:r w:rsidRPr="00AC39B5">
              <w:rPr>
                <w:rStyle w:val="VerbatimChar"/>
                <w:rFonts w:ascii="Times New Roman" w:hAnsi="Times New Roman" w:cs="Times New Roman"/>
              </w:rPr>
              <w:t>note_seq</w:t>
            </w:r>
          </w:p>
        </w:tc>
        <w:tc>
          <w:tcPr>
            <w:tcW w:w="0" w:type="auto"/>
          </w:tcPr>
          <w:p w14:paraId="4AD128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5501E229"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xml:space="preserve">0 (v2.2 is already unique per </w:t>
            </w:r>
            <w:r w:rsidRPr="00AC39B5">
              <w:rPr>
                <w:rStyle w:val="VerbatimChar"/>
                <w:rFonts w:ascii="Times New Roman" w:hAnsi="Times New Roman" w:cs="Times New Roman"/>
              </w:rPr>
              <w:t>hadm_id</w:t>
            </w:r>
            <w:r w:rsidRPr="00AC39B5">
              <w:rPr>
                <w:rFonts w:ascii="Times New Roman" w:hAnsi="Times New Roman" w:cs="Times New Roman"/>
              </w:rPr>
              <w:t>)</w:t>
            </w:r>
          </w:p>
        </w:tc>
      </w:tr>
      <w:tr w:rsidR="002E2565" w:rsidRPr="00AC39B5" w14:paraId="318F3C1A" w14:textId="77777777" w:rsidTr="00E02147">
        <w:tc>
          <w:tcPr>
            <w:tcW w:w="0" w:type="auto"/>
          </w:tcPr>
          <w:p w14:paraId="04458865"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3</w:t>
            </w:r>
          </w:p>
        </w:tc>
        <w:tc>
          <w:tcPr>
            <w:tcW w:w="0" w:type="auto"/>
          </w:tcPr>
          <w:p w14:paraId="7A8E3300"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Inner join with v3.1 admissions</w:t>
            </w:r>
          </w:p>
        </w:tc>
        <w:tc>
          <w:tcPr>
            <w:tcW w:w="0" w:type="auto"/>
          </w:tcPr>
          <w:p w14:paraId="3C477C90"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331,732</w:t>
            </w:r>
          </w:p>
        </w:tc>
        <w:tc>
          <w:tcPr>
            <w:tcW w:w="0" w:type="auto"/>
          </w:tcPr>
          <w:p w14:paraId="1D827A0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−61 (0.018% version drift)</w:t>
            </w:r>
          </w:p>
        </w:tc>
      </w:tr>
      <w:tr w:rsidR="002E2565" w:rsidRPr="00AC39B5" w14:paraId="24EA25BF" w14:textId="77777777" w:rsidTr="00E02147">
        <w:tc>
          <w:tcPr>
            <w:tcW w:w="0" w:type="auto"/>
          </w:tcPr>
          <w:p w14:paraId="5F016CB6"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4</w:t>
            </w:r>
          </w:p>
        </w:tc>
        <w:tc>
          <w:tcPr>
            <w:tcW w:w="0" w:type="auto"/>
          </w:tcPr>
          <w:p w14:paraId="54B475F5"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Inner join with v3.1 ICD-10 diagnoses</w:t>
            </w:r>
          </w:p>
        </w:tc>
        <w:tc>
          <w:tcPr>
            <w:tcW w:w="0" w:type="auto"/>
          </w:tcPr>
          <w:p w14:paraId="2A1E0ACD"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122,288</w:t>
            </w:r>
          </w:p>
        </w:tc>
        <w:tc>
          <w:tcPr>
            <w:tcW w:w="0" w:type="auto"/>
          </w:tcPr>
          <w:p w14:paraId="5D91294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−209,444 (63.13% ICD-era filter)</w:t>
            </w:r>
          </w:p>
        </w:tc>
      </w:tr>
      <w:tr w:rsidR="002E2565" w:rsidRPr="00AC39B5" w14:paraId="0A27CD5B" w14:textId="77777777" w:rsidTr="00E02147">
        <w:tc>
          <w:tcPr>
            <w:tcW w:w="0" w:type="auto"/>
          </w:tcPr>
          <w:p w14:paraId="45B6E1C2"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5</w:t>
            </w:r>
          </w:p>
        </w:tc>
        <w:tc>
          <w:tcPr>
            <w:tcW w:w="0" w:type="auto"/>
          </w:tcPr>
          <w:p w14:paraId="13FFB35C" w14:textId="77777777" w:rsidR="002E2565" w:rsidRPr="00AC39B5" w:rsidRDefault="002E2565" w:rsidP="00E02147">
            <w:pPr>
              <w:pStyle w:val="Compact"/>
              <w:rPr>
                <w:rFonts w:ascii="Times New Roman" w:hAnsi="Times New Roman" w:cs="Times New Roman"/>
              </w:rPr>
            </w:pPr>
            <w:r w:rsidRPr="00AC39B5">
              <w:rPr>
                <w:rStyle w:val="VerbatimChar"/>
                <w:rFonts w:ascii="Times New Roman" w:hAnsi="Times New Roman" w:cs="Times New Roman"/>
              </w:rPr>
              <w:t>n_tokens &gt;= 100</w:t>
            </w:r>
            <w:r w:rsidRPr="00AC39B5">
              <w:rPr>
                <w:rFonts w:ascii="Times New Roman" w:hAnsi="Times New Roman" w:cs="Times New Roman"/>
              </w:rPr>
              <w:t xml:space="preserve"> filter</w:t>
            </w:r>
          </w:p>
        </w:tc>
        <w:tc>
          <w:tcPr>
            <w:tcW w:w="0" w:type="auto"/>
          </w:tcPr>
          <w:p w14:paraId="539088C4"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122,288</w:t>
            </w:r>
          </w:p>
        </w:tc>
        <w:tc>
          <w:tcPr>
            <w:tcW w:w="0" w:type="auto"/>
          </w:tcPr>
          <w:p w14:paraId="6ADBB7D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0 (p01 = 486 tokens; filter does not bind)</w:t>
            </w:r>
          </w:p>
        </w:tc>
      </w:tr>
    </w:tbl>
    <w:p w14:paraId="33FDDC6C"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Total attrition from raw to modelable is 209,505 admissions; of that, 99.97% is attributable to the ICD-era filter and 0.03% to version drift.</w:t>
      </w:r>
    </w:p>
    <w:p w14:paraId="2CFDF63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Train, validation, and test partitions are defined at the patient level using an 80/10/10 split by subject_id. This is not optional. It is required because 35.05% of cohort patients have more than one admission, and admission-level random splitting would leak the same patient's writing patterns and comorbidity clusters into both training and test data, producing optimistic metrics that collapse on out-of-sample patients. The seed is 42, recorded in DECISIONS.md, and reproducible end-to-end.</w:t>
      </w:r>
      <w:r w:rsidRPr="00AC39B5">
        <w:rPr>
          <w:rStyle w:val="VerbatimChar"/>
          <w:rFonts w:ascii="Times New Roman" w:hAnsi="Times New Roman" w:cs="Times New Roman"/>
        </w:rPr>
      </w:r>
      <w:r w:rsidRPr="00AC39B5">
        <w:rPr>
          <w:rFonts w:ascii="Times New Roman" w:hAnsi="Times New Roman" w:cs="Times New Roman"/>
        </w:rPr>
      </w:r>
    </w:p>
    <w:p w14:paraId="25DAC9A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Table 3.2. Patient-level split composition.</w:t>
      </w:r>
    </w:p>
    <w:tbl>
      <w:tblPr>
        <w:tblStyle w:val="Table"/>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230"/>
        <w:gridCol w:w="976"/>
        <w:gridCol w:w="1223"/>
        <w:gridCol w:w="1350"/>
        <w:gridCol w:w="1543"/>
      </w:tblGrid>
      <w:tr w:rsidR="002E2565" w:rsidRPr="00AC39B5" w14:paraId="63D146CF" w14:textId="77777777" w:rsidTr="00E02147">
        <w:tc>
          <w:tcPr>
            <w:tcW w:w="0" w:type="auto"/>
            <w:vAlign w:val="bottom"/>
          </w:tcPr>
          <w:p w14:paraId="5576342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Split</w:t>
            </w:r>
          </w:p>
        </w:tc>
        <w:tc>
          <w:tcPr>
            <w:tcW w:w="0" w:type="auto"/>
            <w:vAlign w:val="bottom"/>
          </w:tcPr>
          <w:p w14:paraId="32BB9004"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Patients</w:t>
            </w:r>
          </w:p>
        </w:tc>
        <w:tc>
          <w:tcPr>
            <w:tcW w:w="0" w:type="auto"/>
            <w:vAlign w:val="bottom"/>
          </w:tcPr>
          <w:p w14:paraId="6090A6BE"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patients</w:t>
            </w:r>
          </w:p>
        </w:tc>
        <w:tc>
          <w:tcPr>
            <w:tcW w:w="0" w:type="auto"/>
            <w:vAlign w:val="bottom"/>
          </w:tcPr>
          <w:p w14:paraId="2859B73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Admissions</w:t>
            </w:r>
          </w:p>
        </w:tc>
        <w:tc>
          <w:tcPr>
            <w:tcW w:w="0" w:type="auto"/>
            <w:vAlign w:val="bottom"/>
          </w:tcPr>
          <w:p w14:paraId="14D5A96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admissions</w:t>
            </w:r>
          </w:p>
        </w:tc>
      </w:tr>
      <w:tr w:rsidR="002E2565" w:rsidRPr="00AC39B5" w14:paraId="7D68375D" w14:textId="77777777" w:rsidTr="00E02147">
        <w:tc>
          <w:tcPr>
            <w:tcW w:w="0" w:type="auto"/>
          </w:tcPr>
          <w:p w14:paraId="6E96645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Train</w:t>
            </w:r>
          </w:p>
        </w:tc>
        <w:tc>
          <w:tcPr>
            <w:tcW w:w="0" w:type="auto"/>
          </w:tcPr>
          <w:p w14:paraId="1A944216"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52,532</w:t>
            </w:r>
          </w:p>
        </w:tc>
        <w:tc>
          <w:tcPr>
            <w:tcW w:w="0" w:type="auto"/>
          </w:tcPr>
          <w:p w14:paraId="44B80FC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80.00</w:t>
            </w:r>
          </w:p>
        </w:tc>
        <w:tc>
          <w:tcPr>
            <w:tcW w:w="0" w:type="auto"/>
          </w:tcPr>
          <w:p w14:paraId="6442DBB9"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97,928</w:t>
            </w:r>
          </w:p>
        </w:tc>
        <w:tc>
          <w:tcPr>
            <w:tcW w:w="0" w:type="auto"/>
          </w:tcPr>
          <w:p w14:paraId="73F44782"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80.08</w:t>
            </w:r>
          </w:p>
        </w:tc>
      </w:tr>
      <w:tr w:rsidR="002E2565" w:rsidRPr="00AC39B5" w14:paraId="5783C71F" w14:textId="77777777" w:rsidTr="00E02147">
        <w:tc>
          <w:tcPr>
            <w:tcW w:w="0" w:type="auto"/>
          </w:tcPr>
          <w:p w14:paraId="2220F5C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Validation</w:t>
            </w:r>
          </w:p>
        </w:tc>
        <w:tc>
          <w:tcPr>
            <w:tcW w:w="0" w:type="auto"/>
          </w:tcPr>
          <w:p w14:paraId="6581AB08"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6,566</w:t>
            </w:r>
          </w:p>
        </w:tc>
        <w:tc>
          <w:tcPr>
            <w:tcW w:w="0" w:type="auto"/>
          </w:tcPr>
          <w:p w14:paraId="3A8B46A5"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10.00</w:t>
            </w:r>
          </w:p>
        </w:tc>
        <w:tc>
          <w:tcPr>
            <w:tcW w:w="0" w:type="auto"/>
          </w:tcPr>
          <w:p w14:paraId="0C2201A2"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12,286</w:t>
            </w:r>
          </w:p>
        </w:tc>
        <w:tc>
          <w:tcPr>
            <w:tcW w:w="0" w:type="auto"/>
          </w:tcPr>
          <w:p w14:paraId="0FA5679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10.05</w:t>
            </w:r>
          </w:p>
        </w:tc>
      </w:tr>
      <w:tr w:rsidR="002E2565" w:rsidRPr="00AC39B5" w14:paraId="6A0927CF" w14:textId="77777777" w:rsidTr="00E02147">
        <w:tc>
          <w:tcPr>
            <w:tcW w:w="0" w:type="auto"/>
          </w:tcPr>
          <w:p w14:paraId="757AE419"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Test</w:t>
            </w:r>
          </w:p>
        </w:tc>
        <w:tc>
          <w:tcPr>
            <w:tcW w:w="0" w:type="auto"/>
          </w:tcPr>
          <w:p w14:paraId="068D8C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6,567</w:t>
            </w:r>
          </w:p>
        </w:tc>
        <w:tc>
          <w:tcPr>
            <w:tcW w:w="0" w:type="auto"/>
          </w:tcPr>
          <w:p w14:paraId="7F49F56B"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10.00</w:t>
            </w:r>
          </w:p>
        </w:tc>
        <w:tc>
          <w:tcPr>
            <w:tcW w:w="0" w:type="auto"/>
          </w:tcPr>
          <w:p w14:paraId="53591456"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12,074</w:t>
            </w:r>
          </w:p>
        </w:tc>
        <w:tc>
          <w:tcPr>
            <w:tcW w:w="0" w:type="auto"/>
          </w:tcPr>
          <w:p w14:paraId="1B6E1AD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9.87</w:t>
            </w:r>
          </w:p>
        </w:tc>
      </w:tr>
    </w:tbl>
    <w:p w14:paraId="7C4931B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lastRenderedPageBreak/>
        <w:t>Across the finalized top-50 label space, 49 labels appear in each split. The remaining label is addressed under cohort-aware label construction (§3.5). Minimum test-split positive count among the represented labels is 420, median is 907, and maximum is 4,476, so per-label F1 is well-supported for the retained 49.</w:t>
      </w:r>
    </w:p>
    <w:p w14:paraId="66901367"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3.3 Data Visualization</w:t>
      </w:r>
    </w:p>
    <w:p w14:paraId="1E3EDF5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note-length distribution is the single most important descriptive result. As shown in Figure 3.1, note length is strongly right-skewed, with median length 1,501 tokens, 90th percentile length 2,447, and 99th percentile length 3,691. The exceedance curve bends in the 1,000 to 2,000 token range, which is precisely where naive BERT truncation becomes indefensible. This is not a minor inconvenience; it determines the architecture.</w:t>
      </w:r>
    </w:p>
    <w:p w14:paraId="6D0C003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ICD version transition visualization is useful but easy to misread. Figure 6.1 displays ICD-9 and ICD-10 assignments by shifted admission year, but the date-shifting scheme smears the real October 2015 transition across the synthetic timeline. The figure is therefore diagnostic rather than historical. It confirms that the version split exists, but it should not be interpreted as a true temporal trend without date unshifting in a later processing stage.</w:t>
      </w:r>
    </w:p>
    <w:p w14:paraId="00726EB2"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Figure 7.1 combines a rank-frequency plot and a top-K coverage curve for ICD-10 labels. The label space is long-tailed, with 19,440 distinct codes, but the top 50 codes cover 91.04% of admissions. That concentration makes the top-50 setting tractable. Marginal coverage returns are not linear: K = 25 adds 8.73 percentage points over K = 10, K = 50 adds only 1.94 points over K = 25, and K = 100 adds 4.41 points over K = 50. The curve therefore does not fully flatten at K = 50; instead, returns remain modest beyond that point. The top-50 cardinality is methodologically inherited from Mullenbach et al. (2018) as a tractable problem size, accepting a 4.41-point coverage ceiling loss relative to top-100 in exchange for methodological alignment with prior published work.</w:t>
      </w:r>
    </w:p>
    <w:p w14:paraId="410D553E"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As shown in Figure 9.1, the label co-occurrence heatmap reveals clinically coherent clusters, including metabolic comorbidity groupings, behavioral health patterns, and acute complication clusters. The most important sanity check is the near-zero co-occurrence between Z87.891 and F17.210, which represent past and current tobacco-use states that should rarely be coded together. That near-zero cell suggests the diagnosis labels are noisy in the usual way, not catastrophically inconsistent.</w:t>
      </w:r>
    </w:p>
    <w:p w14:paraId="378BF64E"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Figure 10.1 shows the admissions-per-patient distribution. It is heavily right-skewed, with median 1, mean 2.44, and maximum 238 admissions for a single patient. About 55% of patients appear once, whereas 11% appear five or more times. This is precisely the distribution that makes patient-level splitting mandatory.</w:t>
      </w:r>
    </w:p>
    <w:p w14:paraId="3EA5A473"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3.4 Algorithms and Modeling Methods</w:t>
      </w:r>
    </w:p>
    <w:p w14:paraId="73A2AA37"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3.4.1 Multi-Label Classification Approach</w:t>
      </w:r>
    </w:p>
    <w:p w14:paraId="5061293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The task is formulated as multi-label classification over 50 binary targets. That formulation is required by the data: admissions routinely carry multiple diagnosis codes, so a multi-class setup would be structurally wrong because it would force exactly one label per encounter. The baseline model uses one-vs-rest logistic regression over TF-IDF features derived from unigrams and bigrams, with </w:t>
      </w:r>
      <w:r w:rsidRPr="00AC39B5">
        <w:rPr>
          <w:rStyle w:val="VerbatimChar"/>
          <w:rFonts w:ascii="Times New Roman" w:hAnsi="Times New Roman" w:cs="Times New Roman"/>
        </w:rPr>
        <w:t>min_df = 5</w:t>
      </w:r>
      <w:r w:rsidRPr="00AC39B5">
        <w:rPr>
          <w:rFonts w:ascii="Times New Roman" w:hAnsi="Times New Roman" w:cs="Times New Roman"/>
        </w:rPr>
        <w:t xml:space="preserve"> and a vocabulary cap of 200,000 features. This baseline is intentionally </w:t>
      </w:r>
      <w:r w:rsidRPr="00AC39B5">
        <w:rPr>
          <w:rFonts w:ascii="Times New Roman" w:hAnsi="Times New Roman" w:cs="Times New Roman"/>
        </w:rPr>
        <w:lastRenderedPageBreak/>
        <w:t>simple. Its purpose is to establish whether later transformer gains reflect genuine modeling improvement rather than a weak comparison point.</w:t>
      </w:r>
    </w:p>
    <w:p w14:paraId="4CDAAF34" w14:textId="77777777" w:rsidR="007D15FF" w:rsidRPr="00AC39B5" w:rsidRDefault="007D15FF" w:rsidP="00B618A3">
      <w:pPr>
        <w:pStyle w:val="Heading3"/>
        <w:rPr>
          <w:rFonts w:ascii="Times New Roman" w:hAnsi="Times New Roman" w:cs="Times New Roman"/>
        </w:rPr>
      </w:pPr>
      <w:r w:rsidRPr="00AC39B5">
        <w:rPr>
          <w:rFonts w:ascii="Times New Roman" w:hAnsi="Times New Roman" w:cs="Times New Roman"/>
        </w:rPr>
        <w:t>3.4.2 Transformer Fine-Tuning Strategy</w:t>
      </w:r>
    </w:p>
    <w:p w14:paraId="4C6E43D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primary neural model is Bio_ClinicalBERT with chunk-and-max-pool decoding. The EDA justifies this choice directly. A single 512-token window would truncate 98.74% of notes and discard roughly 1,000 tokens even around the median. That loss is unacceptable. A chunked approach can process several note segments independently and aggregate evidence across them, preserving substantially more signal at lower cost than a full long-context transformer.</w:t>
      </w:r>
    </w:p>
    <w:p w14:paraId="3D2E89B8"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Clinical-Longformer is reserved as an escalation path rather than the initial model. That is the right call. Long-context transformers are slower and more expensive, and there is no reason to pay that tax before testing whether chunked Bio_ClinicalBERT already clears the target. The escalation trigger is concrete and conditioned on a fair training budget: Clinical-Longformer is considered only if chunked Bio_ClinicalBERT, after fine-tuning for at least three full epochs at learning rate 2e-5 with effective batch size 16 and per-label threshold tuning on the validation set, produces a best-epoch validation Micro F1 below 0.67. Below this threshold and training budget, the chunked architecture is presumed insufficient; above it, the three-point shortfall is treated as a tuning or data issue rather than an architectural one.</w:t>
      </w:r>
    </w:p>
    <w:p w14:paraId="10B1BC03"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3.4.3 Threshold Tuning</w:t>
      </w:r>
    </w:p>
    <w:p w14:paraId="04D2549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Threshold selection is performed per label on the validation set by optimizing F1 rather than using a single global cutoff. The class distribution is too imbalanced for one threshold to work well across all labels. Common codes and low-prevalence codes operate in different score regimes. Ignoring that and using a flat 0.5 threshold would be a weak implementation choice.</w:t>
      </w:r>
    </w:p>
    <w:p w14:paraId="1402CED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Because the same validation split is also used for early stopping during transformer fine-tuning, a mild dual-use leakage path exists: thresholds optimized on the validation set will overstate that set’s F1 relative to truly held-out performance. This is mitigated by reporting headline metrics on the held-out test split rather than the validation split, and by reserving the option to split validation into </w:t>
      </w:r>
      <w:proofErr w:type="spellStart"/>
      <w:r w:rsidRPr="00AC39B5">
        <w:rPr>
          <w:rStyle w:val="VerbatimChar"/>
          <w:rFonts w:ascii="Times New Roman" w:hAnsi="Times New Roman" w:cs="Times New Roman"/>
        </w:rPr>
        <w:t>val</w:t>
      </w:r>
      <w:proofErr w:type="spellEnd"/>
      <w:r w:rsidRPr="00AC39B5">
        <w:rPr>
          <w:rStyle w:val="VerbatimChar"/>
          <w:rFonts w:ascii="Times New Roman" w:hAnsi="Times New Roman" w:cs="Times New Roman"/>
        </w:rPr>
        <w:t>-stop</w:t>
      </w:r>
      <w:r w:rsidRPr="00AC39B5">
        <w:rPr>
          <w:rFonts w:ascii="Times New Roman" w:hAnsi="Times New Roman" w:cs="Times New Roman"/>
        </w:rPr>
        <w:t xml:space="preserve"> (early stopping) and </w:t>
      </w:r>
      <w:proofErr w:type="spellStart"/>
      <w:r w:rsidRPr="00AC39B5">
        <w:rPr>
          <w:rStyle w:val="VerbatimChar"/>
          <w:rFonts w:ascii="Times New Roman" w:hAnsi="Times New Roman" w:cs="Times New Roman"/>
        </w:rPr>
        <w:t>val</w:t>
      </w:r>
      <w:proofErr w:type="spellEnd"/>
      <w:r w:rsidRPr="00AC39B5">
        <w:rPr>
          <w:rStyle w:val="VerbatimChar"/>
          <w:rFonts w:ascii="Times New Roman" w:hAnsi="Times New Roman" w:cs="Times New Roman"/>
        </w:rPr>
        <w:t>-thresh</w:t>
      </w:r>
      <w:r w:rsidRPr="00AC39B5">
        <w:rPr>
          <w:rFonts w:ascii="Times New Roman" w:hAnsi="Times New Roman" w:cs="Times New Roman"/>
        </w:rPr>
        <w:t xml:space="preserve"> (threshold tuning) if test-split Micro F1 lags validation Micro F1 by more than three percentage points.</w:t>
      </w:r>
    </w:p>
    <w:p w14:paraId="7D303074"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3.4.4 Patient-Level Train/Val/Test Splits</w:t>
      </w:r>
    </w:p>
    <w:p w14:paraId="7317D9A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train/validation/test split is performed at the patient level with seed 42 and an 80/10/10 ratio. The logic is straightforward: when 35.05% of cohort patients appear multiple times, random admission-level splits create a high probability that the same patient's writing style, comorbidity profile, and documentation conventions appear in both training and test, producing optimistic metrics that fail to generalize. Patient-level splitting forecloses this leakage by construction.</w:t>
      </w:r>
    </w:p>
    <w:p w14:paraId="23298BFF"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3.5 EDA Results</w:t>
      </w:r>
    </w:p>
    <w:p w14:paraId="150016A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Cohort-aware label construction. Computing the top 50 ICD-10 codes from the full v3.1 ICD-10 diagnoses pool (254,377 admissions) rather than from the trainable cohort (122,288 admissions) produces a label space that leaks four codes with severely reduced or zero cohort support. The worst case is Z20.822 (contact with and suspected exposure to COVID-19), which ranks ninth in the full pool with 33,113 admissions but has zero positives in the modelable cohort because the v2.2 note corpus predates the note-generation window that covers those COVID-era admissions. Three additional codes (E11.65, D50.9, Z51.5) lose between 49 and 55 percent of their positives when intersected with the cohort. The corrected methodology computes top-K from the cohort itself, which changes 4 of the 50 label columns: the cohort-based top 50 drops Z20.822, E11.65, D50.9, and Z51.5 and adds N18.3, J18.9, Y92.239, and Z23. This correction is applied before the Gold label matrix is built. Without it, the Z20.822 column would be constant-zero and would trivially inflate any metric that averages per-label precision or recall.</w:t>
      </w:r>
      <w:r w:rsidRPr="00AC39B5">
        <w:rPr>
          <w:rFonts w:ascii="Times New Roman" w:hAnsi="Times New Roman" w:cs="Times New Roman"/>
        </w:rPr>
      </w:r>
    </w:p>
    <w:p w14:paraId="3F70B44B"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Cohort viability. The cohort is viable. The final modelable population contains 122,288 admissions — roughly 10.75 times the MIMIC-III top-50 benchmark cohort used in the original CAML paper (Mullenbach et al., 2018), which reported 8,067 training, 1,574 validation, and 1,730 test discharge summaries. Top-50 coverage reaches 91.04%, comfortably above the 80% threshold that would make a top-K benchmark worth running. On size and concentration alone, the cohort is strong enough to support both baseline and transformer experiments.</w:t>
      </w:r>
    </w:p>
    <w:p w14:paraId="61C1759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Demographic representation. The modelable cohort covers 65,665 patients. At the patient level, self-reported race distributes as follows: White 66.33%, Black or African American 12.83%, Hispanic or Latino 5.52%, Asian 4.32%, Unknown or Other 10.56%, American Indian / Alaska Native / Native Hawaiian or Pacific Islander 0.33%, and Multiple 0.12%. Two implications follow. First, fairness reporting on macro F1 disaggregated by race is feasible for White, Black, Hispanic, and Asian subgroups, each with at least 4,000 patients in the cohort. Second, AI/AN/NHPI and Multiple groups together represent fewer than 0.5% of patients, so per-subgroup F1 for these groups will be dominated by sample variance rather than model behavior and will be reported with an explicit uncertainty caveat in the model card rather than omitted. The Unknown or Other category is large enough (10.56% of patients) that its performance will be reported separately as an indicator of model behavior on under-documented demographic records.</w:t>
      </w:r>
    </w:p>
    <w:p w14:paraId="55C9F61B"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Constraints. The main constraints are also clear and nontrivial. Note length rules out single-window BERT. Patient </w:t>
      </w:r>
      <w:proofErr w:type="gramStart"/>
      <w:r w:rsidRPr="00AC39B5">
        <w:rPr>
          <w:rFonts w:ascii="Times New Roman" w:hAnsi="Times New Roman" w:cs="Times New Roman"/>
        </w:rPr>
        <w:t>overlap</w:t>
      </w:r>
      <w:proofErr w:type="gramEnd"/>
      <w:r w:rsidRPr="00AC39B5">
        <w:rPr>
          <w:rFonts w:ascii="Times New Roman" w:hAnsi="Times New Roman" w:cs="Times New Roman"/>
        </w:rPr>
        <w:t xml:space="preserve"> rules out admission-level random splitting. The v3.1 Hosp upgrade improves structured diagnosis integrity, but the ICD-10-only filter eliminates a large share of the note inventory because the older ICD-9 era is intentionally excluded. That is a cohort-definition trade-off, not a data-quality failure.</w:t>
      </w:r>
    </w:p>
    <w:p w14:paraId="31B79612" w14:textId="2EBF1859" w:rsidR="007D15FF" w:rsidRPr="00AC39B5" w:rsidRDefault="002E2565" w:rsidP="002E2565">
      <w:pPr>
        <w:pStyle w:val="BodyText"/>
        <w:rPr>
          <w:rFonts w:ascii="Times New Roman" w:hAnsi="Times New Roman" w:cs="Times New Roman"/>
        </w:rPr>
      </w:pPr>
      <w:r w:rsidRPr="00AC39B5">
        <w:rPr>
          <w:rFonts w:ascii="Times New Roman" w:hAnsi="Times New Roman" w:cs="Times New Roman"/>
        </w:rPr>
        <w:t>Domain signals. The analysis also surfaced useful domain signals. Expected cardiometabolic burden is somewhat obscured in the top ranks by ICD-10 sub-code fragmentation rather than by the absence of disease burden. The near-zero Z87.891 × F17.210 co-occurrence is a small but important validation that label combinations are not obviously nonsensical. The earlier appearance of Z20.822 in the full ICD-10 pool is now correctly interpreted as a cohort-construction artifact rather than evidence that the final trainable cohort contains pandemic-era admissions.</w:t>
      </w:r>
    </w:p>
    <w:p w14:paraId="6B04EB81"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3.6 Model Evaluation</w:t>
      </w:r>
    </w:p>
    <w:p w14:paraId="736E691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The evaluation plan centers on Micro F1, Macro F1, and precision at rank (P@5, P@8, P@15). Micro F1 is the primary operational metric because it aggregates performance across labels and is comparatively stable under class imbalance. Macro F1 is retained because it exposes failure on </w:t>
      </w:r>
      <w:r w:rsidRPr="00AC39B5">
        <w:rPr>
          <w:rFonts w:ascii="Times New Roman" w:hAnsi="Times New Roman" w:cs="Times New Roman"/>
        </w:rPr>
        <w:lastRenderedPageBreak/>
        <w:t>less frequent labels. Precision at rank is included because coder-assist settings care about the usefulness of the ranked candidate list, not only thresholded binary outputs.</w:t>
      </w:r>
    </w:p>
    <w:p w14:paraId="6DC1934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Target thresholds are stated explicitly: Micro F1 at or above 0.70, Macro F1 at or above 0.55, and P@8 at or above 0.65. A Micro F1 below 0.55 is treated as a failure condition indicating a pipeline, label-construction, or evaluation problem rather than a respectable first benchmark.</w:t>
      </w:r>
    </w:p>
    <w:p w14:paraId="363B1BFA" w14:textId="77777777" w:rsidR="002E2565" w:rsidRPr="00AC39B5" w:rsidRDefault="002E2565" w:rsidP="002E2565">
      <w:pPr>
        <w:pStyle w:val="BodyText"/>
        <w:rPr>
          <w:rFonts w:ascii="Times New Roman" w:hAnsi="Times New Roman" w:cs="Times New Roman"/>
        </w:rPr>
      </w:pPr>
      <w:r>
        <w:t>Numerical comparison to Mullenbach et al. (2018) is not reported. The published CAML numbers (Mullenbach Table 5: Micro F1 = 0.614, Macro F1 = 0.532, P@5 = 0.609) are on MIMIC-III/ICD-9 top-50; this work targets MIMIC-IV/ICD-10 top-50. Different dataset, different coding system, different cohort, different label space — numerical proximity would be confounded by all four factors and is methodologically invalid as a benchmark comparison (see DECISIONS.md 2026-04-26). Subgroup reporting by recurrent-admission status, sex, and age bucket is included in the eventual model card. Temporal subgroup analysis waits until shifted dates are normalized in a later processing stage.</w:t>
      </w:r>
    </w:p>
    <w:p w14:paraId="3FADEA50" w14:textId="77777777" w:rsidR="007D15FF" w:rsidRPr="00AC39B5" w:rsidRDefault="007D15FF" w:rsidP="007D15FF">
      <w:pPr>
        <w:pStyle w:val="Heading1"/>
        <w:rPr>
          <w:rFonts w:ascii="Times New Roman" w:hAnsi="Times New Roman" w:cs="Times New Roman"/>
          <w:sz w:val="24"/>
          <w:szCs w:val="24"/>
        </w:rPr>
      </w:pPr>
      <w:r w:rsidRPr="00AC39B5">
        <w:rPr>
          <w:rFonts w:ascii="Times New Roman" w:hAnsi="Times New Roman" w:cs="Times New Roman"/>
          <w:sz w:val="24"/>
          <w:szCs w:val="24"/>
        </w:rPr>
        <w:t>4. Conclusion</w:t>
      </w:r>
    </w:p>
    <w:p w14:paraId="0E02CFB0"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4.1 Exposition</w:t>
      </w:r>
    </w:p>
    <w:p w14:paraId="67A7D725"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This EDA establishes that MIMIC-IV can support a serious ICD-10 auto-coding benchmark, but only if the modeling plan respects the structure of the data. The cohort is large, label concentration is high enough for a top-50 benchmark, and the join logic between MIMIC-IV-Note v2.2 and MIMIC-IV Hosp v3.1 is defensible despite the release mismatch. In short, the data support proceeding to baseline modeling.</w:t>
      </w:r>
    </w:p>
    <w:p w14:paraId="2CF58BF9"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analysis also rules out several weak modeling shortcuts. Single-window BERT is not a credible option because discharge summaries are too long. Admission-level random splitting is not defensible because repeated patients are too common. The clinical-coding task itself has evolved since Mullenbach et al. (2018): the cohort is newer, the coding system is ICD-10 rather than ICD-9, the label space is more granular, and the data reflect more contemporary documentation patterns.</w:t>
      </w:r>
    </w:p>
    <w:p w14:paraId="5A6A672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4.2 Problem Description</w:t>
      </w:r>
    </w:p>
    <w:p w14:paraId="4255CE9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modeling problem exposed by the data is not simply “predict codes from text.” It is a constrained long-document, multi-label classification problem with severe right-skew in note length, a fragmented diagnosis space, substantial patient-level leakage risk, and a note corpus that samples only part of the full structured-hospital population. The task is feasible, but sloppy evaluation or naive architecture choice will produce misleading results.</w:t>
      </w:r>
    </w:p>
    <w:p w14:paraId="7CEA294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4.3 Management Recommendations</w:t>
      </w:r>
    </w:p>
    <w:p w14:paraId="2C04B9AF"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Proceed to baseline training immediately. The cohort size and top-50 label coverage are already strong enough to justify a TF-IDF plus logistic regression benchmark.</w:t>
      </w:r>
    </w:p>
    <w:p w14:paraId="4C54356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Do not waste time on single-window BERT. The note-length distribution makes truncation a losing design from the start.</w:t>
      </w:r>
    </w:p>
    <w:p w14:paraId="5590BD07"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Train chunked Bio_ClinicalBERT as the primary neural baseline. It is the best cost-performance choice supported by the EDA.</w:t>
      </w:r>
    </w:p>
    <w:p w14:paraId="2CB099E0"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lastRenderedPageBreak/>
        <w:t>Escalate to Clinical-Longformer only if chunked BERT underperforms materially. Use the pre-registered trigger rather than model-chasing.</w:t>
      </w:r>
    </w:p>
    <w:p w14:paraId="0E0BE22C"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Keep patient-level splits fixed and documented. Any admission-level evaluation would contaminate results and weaken the credibility of the entire project.</w:t>
      </w:r>
    </w:p>
    <w:p w14:paraId="78F0638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Unshift or normalize date logic in the Silver stage before any temporal analysis. Current shifted-year plots are acceptable for diagnostics, not for historical claims.</w:t>
      </w:r>
    </w:p>
    <w:p w14:paraId="392674E7"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Add race and related subgroup fields before model-card finalization. Fairness reporting without demographic coverage is incomplete and would not pass serious review.</w:t>
      </w:r>
    </w:p>
    <w:p w14:paraId="135F935E"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Document the cohort ceiling explicitly in the data card. The modelable population is limited by note availability in MIMIC-IV-Note v2.2, not by this project’s join quality.</w:t>
      </w:r>
    </w:p>
    <w:p w14:paraId="4FD4297B" w14:textId="77777777" w:rsidR="002E2565" w:rsidRPr="00AC39B5" w:rsidRDefault="002E2565" w:rsidP="002E2565">
      <w:pPr>
        <w:pStyle w:val="Heading2"/>
        <w:rPr>
          <w:rFonts w:ascii="Times New Roman" w:hAnsi="Times New Roman" w:cs="Times New Roman"/>
          <w:sz w:val="24"/>
          <w:szCs w:val="24"/>
        </w:rPr>
      </w:pPr>
      <w:bookmarkStart w:id="0" w:name="closing"/>
      <w:r w:rsidRPr="00AC39B5">
        <w:rPr>
          <w:rFonts w:ascii="Times New Roman" w:hAnsi="Times New Roman" w:cs="Times New Roman"/>
          <w:sz w:val="24"/>
          <w:szCs w:val="24"/>
        </w:rPr>
        <w:t>4.4 Closing</w:t>
      </w:r>
      <w:bookmarkEnd w:id="0"/>
    </w:p>
    <w:p w14:paraId="284DE843" w14:textId="5E516EDD"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This report establishes that the cohort definition, label space, and evaluation design are credible enough to support downstream modeling. The next deliverable should be the benchmark package itself: a leakage-safe TF-IDF baseline, a chunked Bio_ClinicalBERT fine-tune, and a documented comparison executed on Azure Databricks with accompanying model-card and data-card artifacts.</w:t>
      </w:r>
    </w:p>
    <w:p w14:paraId="4661E4CC" w14:textId="76B26E60" w:rsidR="002E1D11" w:rsidRPr="00AC39B5" w:rsidRDefault="007819EE" w:rsidP="007819EE">
      <w:pPr>
        <w:pStyle w:val="Heading1"/>
        <w:rPr>
          <w:rFonts w:ascii="Times New Roman" w:hAnsi="Times New Roman" w:cs="Times New Roman"/>
          <w:sz w:val="24"/>
          <w:szCs w:val="24"/>
        </w:rPr>
      </w:pPr>
      <w:r w:rsidRPr="00AC39B5">
        <w:rPr>
          <w:rFonts w:ascii="Times New Roman" w:hAnsi="Times New Roman" w:cs="Times New Roman"/>
          <w:sz w:val="24"/>
          <w:szCs w:val="24"/>
        </w:rPr>
        <w:t>5. Acknowledgement</w:t>
      </w:r>
    </w:p>
    <w:p w14:paraId="03708C89" w14:textId="2EB65F11" w:rsidR="007819EE" w:rsidRPr="00AC39B5" w:rsidRDefault="007819EE" w:rsidP="007819EE">
      <w:pPr>
        <w:rPr>
          <w:rFonts w:ascii="Times New Roman" w:hAnsi="Times New Roman" w:cs="Times New Roman"/>
          <w:sz w:val="24"/>
          <w:szCs w:val="24"/>
        </w:rPr>
      </w:pPr>
      <w:r w:rsidRPr="00AC39B5">
        <w:rPr>
          <w:rFonts w:ascii="Times New Roman" w:hAnsi="Times New Roman" w:cs="Times New Roman"/>
          <w:sz w:val="24"/>
          <w:szCs w:val="24"/>
        </w:rPr>
        <w:t>This manuscript was prepared with limited assistance from large language models (Anthropic Claude and OpenAI ChatGPT) used for editorial support, paper organization, and discussion of presentation choices. The code, analyses, computed statistics, cohort definition, methodological decisions, interpretations, and final written content were developed by the author.</w:t>
      </w:r>
    </w:p>
    <w:p w14:paraId="7475C1DC" w14:textId="77777777" w:rsidR="002E2565" w:rsidRPr="00AC39B5" w:rsidRDefault="002E2565" w:rsidP="002E2565">
      <w:pPr>
        <w:pStyle w:val="Heading1"/>
        <w:rPr>
          <w:rFonts w:ascii="Times New Roman" w:hAnsi="Times New Roman" w:cs="Times New Roman"/>
          <w:sz w:val="24"/>
          <w:szCs w:val="24"/>
        </w:rPr>
      </w:pPr>
    </w:p>
    <w:p w14:paraId="0C8C10B5" w14:textId="77777777" w:rsidR="002E2565" w:rsidRPr="00AC39B5" w:rsidRDefault="002E2565" w:rsidP="002E2565">
      <w:pPr>
        <w:rPr>
          <w:rFonts w:ascii="Times New Roman" w:hAnsi="Times New Roman" w:cs="Times New Roman"/>
          <w:sz w:val="24"/>
          <w:szCs w:val="24"/>
        </w:rPr>
      </w:pPr>
    </w:p>
    <w:p w14:paraId="15684BEF" w14:textId="77777777" w:rsidR="002E2565" w:rsidRPr="00AC39B5" w:rsidRDefault="002E2565" w:rsidP="002E2565">
      <w:pPr>
        <w:rPr>
          <w:rFonts w:ascii="Times New Roman" w:hAnsi="Times New Roman" w:cs="Times New Roman"/>
          <w:sz w:val="24"/>
          <w:szCs w:val="24"/>
        </w:rPr>
      </w:pPr>
    </w:p>
    <w:p w14:paraId="73EB231F" w14:textId="77777777" w:rsidR="002E2565" w:rsidRPr="00AC39B5" w:rsidRDefault="002E2565" w:rsidP="002E2565">
      <w:pPr>
        <w:rPr>
          <w:rFonts w:ascii="Times New Roman" w:hAnsi="Times New Roman" w:cs="Times New Roman"/>
          <w:sz w:val="24"/>
          <w:szCs w:val="24"/>
        </w:rPr>
      </w:pPr>
    </w:p>
    <w:p w14:paraId="490ACC83" w14:textId="77777777" w:rsidR="002E2565" w:rsidRPr="00AC39B5" w:rsidRDefault="002E2565" w:rsidP="002E2565">
      <w:pPr>
        <w:rPr>
          <w:rFonts w:ascii="Times New Roman" w:hAnsi="Times New Roman" w:cs="Times New Roman"/>
          <w:sz w:val="24"/>
          <w:szCs w:val="24"/>
        </w:rPr>
      </w:pPr>
    </w:p>
    <w:p w14:paraId="4D1A15F4" w14:textId="77777777" w:rsidR="002E2565" w:rsidRPr="00AC39B5" w:rsidRDefault="002E2565" w:rsidP="002E2565">
      <w:pPr>
        <w:rPr>
          <w:rFonts w:ascii="Times New Roman" w:hAnsi="Times New Roman" w:cs="Times New Roman"/>
          <w:sz w:val="24"/>
          <w:szCs w:val="24"/>
        </w:rPr>
      </w:pPr>
    </w:p>
    <w:p w14:paraId="4817DBDD" w14:textId="77777777" w:rsidR="002E2565" w:rsidRPr="00AC39B5" w:rsidRDefault="002E2565" w:rsidP="002E2565">
      <w:pPr>
        <w:rPr>
          <w:rFonts w:ascii="Times New Roman" w:hAnsi="Times New Roman" w:cs="Times New Roman"/>
          <w:sz w:val="24"/>
          <w:szCs w:val="24"/>
        </w:rPr>
      </w:pPr>
    </w:p>
    <w:p w14:paraId="6A82E258" w14:textId="77777777" w:rsidR="002E2565" w:rsidRPr="00AC39B5" w:rsidRDefault="002E2565" w:rsidP="002E2565">
      <w:pPr>
        <w:rPr>
          <w:rFonts w:ascii="Times New Roman" w:hAnsi="Times New Roman" w:cs="Times New Roman"/>
          <w:sz w:val="24"/>
          <w:szCs w:val="24"/>
        </w:rPr>
      </w:pPr>
    </w:p>
    <w:p w14:paraId="3699488E" w14:textId="77777777" w:rsidR="002E2565" w:rsidRDefault="002E2565" w:rsidP="002E2565">
      <w:pPr>
        <w:rPr>
          <w:rFonts w:ascii="Times New Roman" w:hAnsi="Times New Roman" w:cs="Times New Roman"/>
          <w:sz w:val="24"/>
          <w:szCs w:val="24"/>
        </w:rPr>
      </w:pPr>
    </w:p>
    <w:p w14:paraId="718C0D22" w14:textId="77777777" w:rsidR="004763FC" w:rsidRDefault="004763FC" w:rsidP="002E2565">
      <w:pPr>
        <w:rPr>
          <w:rFonts w:ascii="Times New Roman" w:hAnsi="Times New Roman" w:cs="Times New Roman"/>
          <w:sz w:val="24"/>
          <w:szCs w:val="24"/>
        </w:rPr>
      </w:pPr>
    </w:p>
    <w:p w14:paraId="5E94F49D" w14:textId="77777777" w:rsidR="004763FC" w:rsidRDefault="004763FC" w:rsidP="002E2565">
      <w:pPr>
        <w:rPr>
          <w:rFonts w:ascii="Times New Roman" w:hAnsi="Times New Roman" w:cs="Times New Roman"/>
          <w:sz w:val="24"/>
          <w:szCs w:val="24"/>
        </w:rPr>
      </w:pPr>
    </w:p>
    <w:p w14:paraId="243B7CDE" w14:textId="77777777" w:rsidR="004763FC" w:rsidRPr="00AC39B5" w:rsidRDefault="004763FC" w:rsidP="002E2565">
      <w:pPr>
        <w:rPr>
          <w:rFonts w:ascii="Times New Roman" w:hAnsi="Times New Roman" w:cs="Times New Roman"/>
          <w:sz w:val="24"/>
          <w:szCs w:val="24"/>
        </w:rPr>
      </w:pPr>
    </w:p>
    <w:p w14:paraId="226B573D" w14:textId="649AFEDE" w:rsidR="009E6A6C" w:rsidRPr="00AC39B5" w:rsidRDefault="009E6A6C" w:rsidP="002E2565">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References</w:t>
      </w:r>
    </w:p>
    <w:p w14:paraId="46F86809" w14:textId="77777777" w:rsidR="007D15FF" w:rsidRPr="00AC39B5" w:rsidRDefault="007D15FF" w:rsidP="007D15FF">
      <w:pPr>
        <w:pStyle w:val="NormalWeb"/>
        <w:spacing w:after="160"/>
        <w:ind w:hanging="720"/>
        <w:rPr>
          <w:color w:val="000000"/>
        </w:rPr>
      </w:pPr>
      <w:r w:rsidRPr="00AC39B5">
        <w:rPr>
          <w:color w:val="000000"/>
        </w:rPr>
        <w:t>Alsentzer, E., Murphy, J. R., Boag, W., Weng, W.-H., Jin, D., Naumann, T., &amp; McDermott, M. (2019). Publicly available clinical BERT embeddings. </w:t>
      </w:r>
      <w:r w:rsidRPr="00AC39B5">
        <w:rPr>
          <w:i/>
          <w:iCs/>
          <w:color w:val="000000"/>
        </w:rPr>
        <w:t>Proceedings of the 2nd Clinical Natural Language Processing Workshop</w:t>
      </w:r>
      <w:r w:rsidRPr="00AC39B5">
        <w:rPr>
          <w:color w:val="000000"/>
        </w:rPr>
        <w:t>, 72–78. </w:t>
      </w:r>
      <w:hyperlink r:id="rId11" w:tgtFrame="_blank" w:history="1">
        <w:r w:rsidRPr="00AC39B5">
          <w:rPr>
            <w:rStyle w:val="Hyperlink"/>
          </w:rPr>
          <w:t>https://doi.org/10.18653/v1/W19-1909</w:t>
        </w:r>
      </w:hyperlink>
    </w:p>
    <w:p w14:paraId="42BBFD95" w14:textId="77777777" w:rsidR="007D15FF" w:rsidRPr="00AC39B5" w:rsidRDefault="007D15FF" w:rsidP="007D15FF">
      <w:pPr>
        <w:pStyle w:val="NormalWeb"/>
        <w:spacing w:after="160"/>
        <w:ind w:hanging="720"/>
        <w:rPr>
          <w:color w:val="000000"/>
        </w:rPr>
      </w:pPr>
      <w:r w:rsidRPr="00AC39B5">
        <w:rPr>
          <w:color w:val="000000"/>
        </w:rPr>
        <w:t>Beltagy, I., Peters, M. E., &amp; Cohan, A. (2020). Longformer: The long-document transformer. </w:t>
      </w:r>
      <w:proofErr w:type="spellStart"/>
      <w:r w:rsidRPr="00AC39B5">
        <w:rPr>
          <w:i/>
          <w:iCs/>
          <w:color w:val="000000"/>
        </w:rPr>
        <w:t>arXiv</w:t>
      </w:r>
      <w:proofErr w:type="spellEnd"/>
      <w:r w:rsidRPr="00AC39B5">
        <w:rPr>
          <w:i/>
          <w:iCs/>
          <w:color w:val="000000"/>
        </w:rPr>
        <w:t xml:space="preserve"> preprint arXiv:2004.05150</w:t>
      </w:r>
      <w:r w:rsidRPr="00AC39B5">
        <w:rPr>
          <w:color w:val="000000"/>
        </w:rPr>
        <w:t>. </w:t>
      </w:r>
      <w:hyperlink r:id="rId12" w:tgtFrame="_blank" w:history="1">
        <w:r w:rsidRPr="00AC39B5">
          <w:rPr>
            <w:rStyle w:val="Hyperlink"/>
          </w:rPr>
          <w:t>https://arxiv.org/abs/2004.05150</w:t>
        </w:r>
      </w:hyperlink>
    </w:p>
    <w:p w14:paraId="40FC0E94" w14:textId="77777777" w:rsidR="007D15FF" w:rsidRPr="00AC39B5" w:rsidRDefault="007D15FF" w:rsidP="007D15FF">
      <w:pPr>
        <w:pStyle w:val="NormalWeb"/>
        <w:spacing w:after="160"/>
        <w:ind w:hanging="720"/>
        <w:rPr>
          <w:color w:val="000000"/>
        </w:rPr>
      </w:pPr>
      <w:r w:rsidRPr="00AC39B5">
        <w:rPr>
          <w:color w:val="000000"/>
        </w:rPr>
        <w:t>Devlin, J., Chang, M.-W., Lee, K., &amp; Toutanova, K. (2019). BERT: Pre-</w:t>
      </w:r>
      <w:proofErr w:type="gramStart"/>
      <w:r w:rsidRPr="00AC39B5">
        <w:rPr>
          <w:color w:val="000000"/>
        </w:rPr>
        <w:t>training of</w:t>
      </w:r>
      <w:proofErr w:type="gramEnd"/>
      <w:r w:rsidRPr="00AC39B5">
        <w:rPr>
          <w:color w:val="000000"/>
        </w:rPr>
        <w:t xml:space="preserve"> deep bidirectional transformers for language understanding. </w:t>
      </w:r>
      <w:r w:rsidRPr="00AC39B5">
        <w:rPr>
          <w:i/>
          <w:iCs/>
          <w:color w:val="000000"/>
        </w:rPr>
        <w:t>Proceedings of the 2019 Conference of the North American Chapter of the Association for Computational Linguistics</w:t>
      </w:r>
      <w:r w:rsidRPr="00AC39B5">
        <w:rPr>
          <w:color w:val="000000"/>
        </w:rPr>
        <w:t>, 4171–4186. </w:t>
      </w:r>
      <w:hyperlink r:id="rId13" w:tgtFrame="_blank" w:history="1">
        <w:r w:rsidRPr="00AC39B5">
          <w:rPr>
            <w:rStyle w:val="Hyperlink"/>
          </w:rPr>
          <w:t>https://doi.org/10.18653/v1/N19-1423</w:t>
        </w:r>
      </w:hyperlink>
    </w:p>
    <w:p w14:paraId="20C80841" w14:textId="77777777" w:rsidR="007D15FF" w:rsidRPr="00AC39B5" w:rsidRDefault="007D15FF" w:rsidP="007D15FF">
      <w:pPr>
        <w:pStyle w:val="NormalWeb"/>
        <w:spacing w:after="160"/>
        <w:ind w:hanging="720"/>
        <w:rPr>
          <w:color w:val="000000"/>
        </w:rPr>
      </w:pPr>
      <w:r w:rsidRPr="00AC39B5">
        <w:rPr>
          <w:color w:val="000000"/>
        </w:rPr>
        <w:t xml:space="preserve">Johnson, A. E. W., Bulgarelli, L., Shen, L., Gayles, A., </w:t>
      </w:r>
      <w:proofErr w:type="spellStart"/>
      <w:r w:rsidRPr="00AC39B5">
        <w:rPr>
          <w:color w:val="000000"/>
        </w:rPr>
        <w:t>Shammout</w:t>
      </w:r>
      <w:proofErr w:type="spellEnd"/>
      <w:r w:rsidRPr="00AC39B5">
        <w:rPr>
          <w:color w:val="000000"/>
        </w:rPr>
        <w:t>, A., Horng, S., Pollard, T. J., Hao, S., Moody, B., Gow, B., Lehman, L. H., Celi, L. A., &amp; Mark, R. G. (2023). MIMIC-IV, a freely accessible electronic health record dataset. </w:t>
      </w:r>
      <w:r w:rsidRPr="00AC39B5">
        <w:rPr>
          <w:i/>
          <w:iCs/>
          <w:color w:val="000000"/>
        </w:rPr>
        <w:t>Scientific Data, 10</w:t>
      </w:r>
      <w:r w:rsidRPr="00AC39B5">
        <w:rPr>
          <w:color w:val="000000"/>
        </w:rPr>
        <w:t>(1), 1. </w:t>
      </w:r>
      <w:hyperlink r:id="rId14" w:tgtFrame="_blank" w:history="1">
        <w:r w:rsidRPr="00AC39B5">
          <w:rPr>
            <w:rStyle w:val="Hyperlink"/>
          </w:rPr>
          <w:t>https://doi.org/10.1038/s41597-022-01899-x</w:t>
        </w:r>
      </w:hyperlink>
    </w:p>
    <w:p w14:paraId="34F159D7" w14:textId="77777777" w:rsidR="007D15FF" w:rsidRPr="00AC39B5" w:rsidRDefault="007D15FF" w:rsidP="007D15FF">
      <w:pPr>
        <w:pStyle w:val="NormalWeb"/>
        <w:spacing w:after="160"/>
        <w:ind w:hanging="720"/>
        <w:rPr>
          <w:color w:val="000000"/>
        </w:rPr>
      </w:pPr>
      <w:r w:rsidRPr="00AC39B5">
        <w:rPr>
          <w:color w:val="000000"/>
        </w:rPr>
        <w:t>Johnson, A. E. W., Pollard, T. J., Horng, S., Celi, L. A., &amp; Mark, R. G. (2023). MIMIC-IV-Note: Deidentified free-text clinical notes (version 2.2) [Data set]. </w:t>
      </w:r>
      <w:r w:rsidRPr="00AC39B5">
        <w:rPr>
          <w:i/>
          <w:iCs/>
          <w:color w:val="000000"/>
        </w:rPr>
        <w:t>PhysioNet</w:t>
      </w:r>
      <w:r w:rsidRPr="00AC39B5">
        <w:rPr>
          <w:color w:val="000000"/>
        </w:rPr>
        <w:t>. </w:t>
      </w:r>
      <w:hyperlink r:id="rId15" w:tgtFrame="_blank" w:history="1">
        <w:r w:rsidRPr="00AC39B5">
          <w:rPr>
            <w:rStyle w:val="Hyperlink"/>
          </w:rPr>
          <w:t>https://doi.org/10.13026/1n74-ne17</w:t>
        </w:r>
      </w:hyperlink>
    </w:p>
    <w:p w14:paraId="2A1057BC" w14:textId="77777777" w:rsidR="007D15FF" w:rsidRPr="00AC39B5" w:rsidRDefault="007D15FF" w:rsidP="007D15FF">
      <w:pPr>
        <w:pStyle w:val="NormalWeb"/>
        <w:spacing w:after="160"/>
        <w:ind w:hanging="720"/>
        <w:rPr>
          <w:color w:val="000000"/>
        </w:rPr>
      </w:pPr>
      <w:r w:rsidRPr="00AC39B5">
        <w:rPr>
          <w:color w:val="000000"/>
        </w:rPr>
        <w:t>Mitchell, M., Wu, S., Zaldivar, A., Barnes, P., Vasserman, L., Hutchinson, B., Spitzer, E., Raji, I. D., &amp; Gebru, T. (2019). Model cards for model reporting. </w:t>
      </w:r>
      <w:r w:rsidRPr="00AC39B5">
        <w:rPr>
          <w:i/>
          <w:iCs/>
          <w:color w:val="000000"/>
        </w:rPr>
        <w:t>Proceedings of the Conference on Fairness, Accountability, and Transparency</w:t>
      </w:r>
      <w:r w:rsidRPr="00AC39B5">
        <w:rPr>
          <w:color w:val="000000"/>
        </w:rPr>
        <w:t>, 220–229. </w:t>
      </w:r>
      <w:hyperlink r:id="rId16" w:tgtFrame="_blank" w:history="1">
        <w:r w:rsidRPr="00AC39B5">
          <w:rPr>
            <w:rStyle w:val="Hyperlink"/>
          </w:rPr>
          <w:t>https://doi.org/10.1145/3287560.3287596</w:t>
        </w:r>
      </w:hyperlink>
    </w:p>
    <w:p w14:paraId="50029DD7" w14:textId="77777777" w:rsidR="007D15FF" w:rsidRPr="00AC39B5" w:rsidRDefault="007D15FF" w:rsidP="007D15FF">
      <w:pPr>
        <w:pStyle w:val="NormalWeb"/>
        <w:spacing w:after="160"/>
        <w:ind w:hanging="720"/>
        <w:rPr>
          <w:color w:val="000000"/>
          <w:lang w:val="es-ES"/>
        </w:rPr>
      </w:pPr>
      <w:r w:rsidRPr="00AC39B5">
        <w:rPr>
          <w:color w:val="000000"/>
        </w:rPr>
        <w:t xml:space="preserve">Mullenbach, J., </w:t>
      </w:r>
      <w:proofErr w:type="spellStart"/>
      <w:r w:rsidRPr="00AC39B5">
        <w:rPr>
          <w:color w:val="000000"/>
        </w:rPr>
        <w:t>Wiegreffe</w:t>
      </w:r>
      <w:proofErr w:type="spellEnd"/>
      <w:r w:rsidRPr="00AC39B5">
        <w:rPr>
          <w:color w:val="000000"/>
        </w:rPr>
        <w:t>, S., Duke, J., Sun, J., &amp; Eisenstein, J. (2018). Explainable prediction of medical codes from clinical text. </w:t>
      </w:r>
      <w:r w:rsidRPr="00AC39B5">
        <w:rPr>
          <w:i/>
          <w:iCs/>
          <w:color w:val="000000"/>
        </w:rPr>
        <w:t>Proceedings of the 2018 Conference of the North American Chapter of the Association for Computational Linguistics</w:t>
      </w:r>
      <w:r w:rsidRPr="00AC39B5">
        <w:rPr>
          <w:color w:val="000000"/>
        </w:rPr>
        <w:t>, 1101–1111. </w:t>
      </w:r>
      <w:hyperlink r:id="rId17" w:tgtFrame="_blank" w:history="1">
        <w:r w:rsidRPr="00AC39B5">
          <w:rPr>
            <w:rStyle w:val="Hyperlink"/>
            <w:lang w:val="es-ES"/>
          </w:rPr>
          <w:t>https://doi.org/10.18653/v1/N18-1100</w:t>
        </w:r>
      </w:hyperlink>
    </w:p>
    <w:p w14:paraId="0F6E1315" w14:textId="77777777" w:rsidR="007D15FF" w:rsidRPr="00AC39B5" w:rsidRDefault="007D15FF" w:rsidP="007D15FF">
      <w:pPr>
        <w:pStyle w:val="NormalWeb"/>
        <w:spacing w:after="160"/>
        <w:ind w:hanging="720"/>
        <w:rPr>
          <w:color w:val="000000"/>
        </w:rPr>
      </w:pPr>
      <w:r w:rsidRPr="00AC39B5">
        <w:rPr>
          <w:color w:val="000000"/>
          <w:lang w:val="es-ES"/>
        </w:rPr>
        <w:t xml:space="preserve">Pushkarna, M., Zaldivar, A., &amp; Kjartansson, O. (2022). </w:t>
      </w:r>
      <w:r w:rsidRPr="00AC39B5">
        <w:rPr>
          <w:color w:val="000000"/>
        </w:rPr>
        <w:t>Data cards: Purposeful and transparent dataset documentation for responsible AI. </w:t>
      </w:r>
      <w:r w:rsidRPr="00AC39B5">
        <w:rPr>
          <w:i/>
          <w:iCs/>
          <w:color w:val="000000"/>
        </w:rPr>
        <w:t>Proceedings of the 2022 ACM Conference on Fairness, Accountability, and Transparency</w:t>
      </w:r>
      <w:r w:rsidRPr="00AC39B5">
        <w:rPr>
          <w:color w:val="000000"/>
        </w:rPr>
        <w:t>, 1776–1826. </w:t>
      </w:r>
      <w:hyperlink r:id="rId18" w:tgtFrame="_blank" w:history="1">
        <w:r w:rsidRPr="00AC39B5">
          <w:rPr>
            <w:rStyle w:val="Hyperlink"/>
          </w:rPr>
          <w:t>https://doi.org/10.1145/3531146.3533231</w:t>
        </w:r>
      </w:hyperlink>
    </w:p>
    <w:p w14:paraId="4ED012AB" w14:textId="77777777" w:rsidR="00002086" w:rsidRPr="00AC39B5" w:rsidRDefault="00002086" w:rsidP="00002086">
      <w:pPr>
        <w:rPr>
          <w:rFonts w:ascii="Times New Roman" w:hAnsi="Times New Roman" w:cs="Times New Roman"/>
          <w:sz w:val="24"/>
          <w:szCs w:val="24"/>
        </w:rPr>
      </w:pPr>
    </w:p>
    <w:p w14:paraId="45C260E2" w14:textId="77777777" w:rsidR="002E1D11" w:rsidRPr="00AC39B5" w:rsidRDefault="002E1D11" w:rsidP="002E1D11">
      <w:pPr>
        <w:rPr>
          <w:rFonts w:ascii="Times New Roman" w:hAnsi="Times New Roman" w:cs="Times New Roman"/>
          <w:sz w:val="24"/>
          <w:szCs w:val="24"/>
        </w:rPr>
      </w:pPr>
    </w:p>
    <w:p w14:paraId="53298F31" w14:textId="77777777" w:rsidR="002E1D11" w:rsidRPr="00AC39B5" w:rsidRDefault="002E1D11" w:rsidP="002E1D11">
      <w:pPr>
        <w:rPr>
          <w:rFonts w:ascii="Times New Roman" w:hAnsi="Times New Roman" w:cs="Times New Roman"/>
          <w:sz w:val="24"/>
          <w:szCs w:val="24"/>
        </w:rPr>
      </w:pPr>
    </w:p>
    <w:p w14:paraId="46FA1A6F" w14:textId="77777777" w:rsidR="002E1D11" w:rsidRPr="00AC39B5" w:rsidRDefault="002E1D11" w:rsidP="002E1D11">
      <w:pPr>
        <w:rPr>
          <w:rFonts w:ascii="Times New Roman" w:hAnsi="Times New Roman" w:cs="Times New Roman"/>
          <w:sz w:val="24"/>
          <w:szCs w:val="24"/>
        </w:rPr>
      </w:pPr>
    </w:p>
    <w:p w14:paraId="6B239C58" w14:textId="28DD25A6" w:rsidR="001468EB" w:rsidRPr="00AC39B5" w:rsidRDefault="00BF3545" w:rsidP="00002086">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Appendix</w:t>
      </w:r>
    </w:p>
    <w:p w14:paraId="5AA08644" w14:textId="77777777" w:rsidR="007B06AA" w:rsidRPr="00AC39B5" w:rsidRDefault="007B06AA" w:rsidP="00002086">
      <w:pPr>
        <w:pStyle w:val="Heading2"/>
        <w:rPr>
          <w:rFonts w:ascii="Times New Roman" w:hAnsi="Times New Roman" w:cs="Times New Roman"/>
          <w:sz w:val="24"/>
          <w:szCs w:val="24"/>
        </w:rPr>
      </w:pPr>
      <w:r w:rsidRPr="00AC39B5">
        <w:rPr>
          <w:rFonts w:ascii="Times New Roman" w:hAnsi="Times New Roman" w:cs="Times New Roman"/>
          <w:sz w:val="24"/>
          <w:szCs w:val="24"/>
        </w:rPr>
        <w:t>Appendix A. Figures</w:t>
      </w:r>
    </w:p>
    <w:p w14:paraId="701BB162" w14:textId="77777777" w:rsidR="008E0430" w:rsidRPr="00AC39B5" w:rsidRDefault="008E0430" w:rsidP="008E0430">
      <w:pPr>
        <w:pStyle w:val="FirstParagraph"/>
        <w:rPr>
          <w:rFonts w:ascii="Times New Roman" w:hAnsi="Times New Roman" w:cs="Times New Roman"/>
        </w:rPr>
      </w:pPr>
      <w:r w:rsidRPr="00AC39B5">
        <w:rPr>
          <w:rFonts w:ascii="Times New Roman" w:hAnsi="Times New Roman" w:cs="Times New Roman"/>
        </w:rPr>
        <w:t>Figures are numbered by the EDA section they support. All figures were generated from the cohort-construction workflow using MIMIC-IV-Note v2.2 and MIMIC-IV Hosp v3.1 after schema validation, discharge-summary filtering, and ICD-10 cohort restriction.</w:t>
      </w:r>
    </w:p>
    <w:p w14:paraId="7170F2FC" w14:textId="77777777" w:rsidR="008E0430" w:rsidRPr="00AC39B5" w:rsidRDefault="008E0430" w:rsidP="008E0430">
      <w:pPr>
        <w:pStyle w:val="BodyText"/>
        <w:rPr>
          <w:rFonts w:ascii="Times New Roman" w:hAnsi="Times New Roman" w:cs="Times New Roman"/>
        </w:rPr>
      </w:pPr>
      <w:r w:rsidRPr="00AC39B5">
        <w:rPr>
          <w:rFonts w:ascii="Times New Roman" w:hAnsi="Times New Roman" w:cs="Times New Roman"/>
        </w:rPr>
        <w:t>Figure 3.1. Distribution of discharge summary length. This figure shows the distribution of note lengths measured in whitespace tokens and characters, with reference lines for BERT (512 tokens) and Longformer (4,096 tokens). The distribution is strongly right-skewed, with a median of 1,501 tokens, 90th percentile of 2,447, and 99th percentile of 3,691. This result justifies chunked transformer processing rather than single-window truncation.</w:t>
      </w:r>
    </w:p>
    <w:p w14:paraId="1DC2F168" w14:textId="34EE5F96"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37D5C340" wp14:editId="3E2EAFC6">
            <wp:extent cx="5943600" cy="1711960"/>
            <wp:effectExtent l="0" t="0" r="0" b="2540"/>
            <wp:docPr id="958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429" name=""/>
                    <pic:cNvPicPr/>
                  </pic:nvPicPr>
                  <pic:blipFill>
                    <a:blip r:embed="rId19"/>
                    <a:stretch>
                      <a:fillRect/>
                    </a:stretch>
                  </pic:blipFill>
                  <pic:spPr>
                    <a:xfrm>
                      <a:off x="0" y="0"/>
                      <a:ext cx="5943600" cy="1711960"/>
                    </a:xfrm>
                    <a:prstGeom prst="rect">
                      <a:avLst/>
                    </a:prstGeom>
                  </pic:spPr>
                </pic:pic>
              </a:graphicData>
            </a:graphic>
          </wp:inline>
        </w:drawing>
      </w:r>
    </w:p>
    <w:p w14:paraId="1B5EBC2E" w14:textId="77777777" w:rsidR="00BD1761" w:rsidRPr="00AC39B5" w:rsidRDefault="00BD1761" w:rsidP="00BD1761">
      <w:pPr>
        <w:pStyle w:val="BodyText"/>
        <w:rPr>
          <w:rFonts w:ascii="Times New Roman" w:hAnsi="Times New Roman" w:cs="Times New Roman"/>
        </w:rPr>
      </w:pPr>
      <w:r w:rsidRPr="00AC39B5">
        <w:rPr>
          <w:rFonts w:ascii="Times New Roman" w:hAnsi="Times New Roman" w:cs="Times New Roman"/>
        </w:rPr>
        <w:t>Figure 6.1. ICD version assignments by shifted admission year. This diagnostic figure displays ICD-9 and ICD-10 diagnosis assignments across shifted admission years. Because MIMIC applies per-patient date shifting, the visual should not be interpreted as a true historical transition plot. Its purpose is only to confirm the presence of the ICD-9 to ICD-10 era split and motivate the ICD-10-only cohort filter.</w:t>
      </w:r>
    </w:p>
    <w:p w14:paraId="20BCD734" w14:textId="03D803BE"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11144FCA" wp14:editId="51334F29">
            <wp:extent cx="5943600" cy="2353945"/>
            <wp:effectExtent l="0" t="0" r="0" b="8255"/>
            <wp:docPr id="143495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8870" name=""/>
                    <pic:cNvPicPr/>
                  </pic:nvPicPr>
                  <pic:blipFill>
                    <a:blip r:embed="rId20"/>
                    <a:stretch>
                      <a:fillRect/>
                    </a:stretch>
                  </pic:blipFill>
                  <pic:spPr>
                    <a:xfrm>
                      <a:off x="0" y="0"/>
                      <a:ext cx="5943600" cy="2353945"/>
                    </a:xfrm>
                    <a:prstGeom prst="rect">
                      <a:avLst/>
                    </a:prstGeom>
                  </pic:spPr>
                </pic:pic>
              </a:graphicData>
            </a:graphic>
          </wp:inline>
        </w:drawing>
      </w:r>
    </w:p>
    <w:p w14:paraId="63CF2A43" w14:textId="77777777" w:rsidR="00BD1761" w:rsidRPr="00AC39B5" w:rsidRDefault="00BD1761" w:rsidP="00BD1761">
      <w:pPr>
        <w:pStyle w:val="BodyText"/>
        <w:rPr>
          <w:rFonts w:ascii="Times New Roman" w:hAnsi="Times New Roman" w:cs="Times New Roman"/>
        </w:rPr>
      </w:pPr>
      <w:r w:rsidRPr="00AC39B5">
        <w:rPr>
          <w:rFonts w:ascii="Times New Roman" w:hAnsi="Times New Roman" w:cs="Times New Roman"/>
        </w:rPr>
        <w:t>Figure 7.1. ICD-10 code frequency and top-K admission coverage. The left panel presents the rank-frequency distribution of ICD-10 codes on a log-log scale. The right panel shows the cumulative fraction of admissions covered by the top-K most frequent codes. The top-50 codes cover 91.04% of admissions, supporting the use of a top-50 benchmark for initial modeling.</w:t>
      </w:r>
    </w:p>
    <w:p w14:paraId="5778FE4B" w14:textId="64CD23D8"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2CE50424" wp14:editId="68DC976B">
            <wp:extent cx="3873699" cy="2235315"/>
            <wp:effectExtent l="0" t="0" r="0" b="0"/>
            <wp:docPr id="105636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62809" name=""/>
                    <pic:cNvPicPr/>
                  </pic:nvPicPr>
                  <pic:blipFill>
                    <a:blip r:embed="rId21"/>
                    <a:stretch>
                      <a:fillRect/>
                    </a:stretch>
                  </pic:blipFill>
                  <pic:spPr>
                    <a:xfrm>
                      <a:off x="0" y="0"/>
                      <a:ext cx="3873699" cy="2235315"/>
                    </a:xfrm>
                    <a:prstGeom prst="rect">
                      <a:avLst/>
                    </a:prstGeom>
                  </pic:spPr>
                </pic:pic>
              </a:graphicData>
            </a:graphic>
          </wp:inline>
        </w:drawing>
      </w:r>
    </w:p>
    <w:p w14:paraId="00510F0D" w14:textId="77777777" w:rsidR="004D5089" w:rsidRPr="00AC39B5" w:rsidRDefault="004D5089" w:rsidP="004D5089">
      <w:pPr>
        <w:pStyle w:val="BodyText"/>
        <w:rPr>
          <w:rFonts w:ascii="Times New Roman" w:hAnsi="Times New Roman" w:cs="Times New Roman"/>
        </w:rPr>
      </w:pPr>
      <w:r w:rsidRPr="00AC39B5">
        <w:rPr>
          <w:rFonts w:ascii="Times New Roman" w:hAnsi="Times New Roman" w:cs="Times New Roman"/>
        </w:rPr>
        <w:t>Figure 8.1. Distribution of distinct ICD-10 codes per admission. This figure summarizes label cardinality at the admission level. It confirms that the task is inherently multi-label and that a multi-class formulation would be structurally wrong.</w:t>
      </w:r>
    </w:p>
    <w:p w14:paraId="1897B884" w14:textId="79087ED0"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55F5E879" wp14:editId="1BE9266E">
            <wp:extent cx="5943600" cy="2381885"/>
            <wp:effectExtent l="0" t="0" r="0" b="0"/>
            <wp:docPr id="196954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41418" name=""/>
                    <pic:cNvPicPr/>
                  </pic:nvPicPr>
                  <pic:blipFill>
                    <a:blip r:embed="rId22"/>
                    <a:stretch>
                      <a:fillRect/>
                    </a:stretch>
                  </pic:blipFill>
                  <pic:spPr>
                    <a:xfrm>
                      <a:off x="0" y="0"/>
                      <a:ext cx="5943600" cy="2381885"/>
                    </a:xfrm>
                    <a:prstGeom prst="rect">
                      <a:avLst/>
                    </a:prstGeom>
                  </pic:spPr>
                </pic:pic>
              </a:graphicData>
            </a:graphic>
          </wp:inline>
        </w:drawing>
      </w:r>
    </w:p>
    <w:p w14:paraId="4F7935F7" w14:textId="77777777" w:rsidR="004D5089" w:rsidRPr="00AC39B5" w:rsidRDefault="004D5089" w:rsidP="004D5089">
      <w:pPr>
        <w:pStyle w:val="BodyText"/>
        <w:rPr>
          <w:rFonts w:ascii="Times New Roman" w:hAnsi="Times New Roman" w:cs="Times New Roman"/>
        </w:rPr>
      </w:pPr>
      <w:r w:rsidRPr="00AC39B5">
        <w:rPr>
          <w:rFonts w:ascii="Times New Roman" w:hAnsi="Times New Roman" w:cs="Times New Roman"/>
        </w:rPr>
        <w:t>Figure 9.1. Top-20 ICD-10 label co-occurrence heatmap. This heatmap shows pairwise co-occurrence counts among the most frequent ICD-10 codes. It highlights clinically coherent comorbidity clusters and includes a useful negative-control pattern: the near-zero co-occurrence of Z87.891 and F17.210, which supports coding consistency.</w:t>
      </w:r>
    </w:p>
    <w:p w14:paraId="32357C2D" w14:textId="1032986A"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000DE6A4" wp14:editId="7C2BFBC5">
            <wp:extent cx="5943600" cy="5187950"/>
            <wp:effectExtent l="0" t="0" r="0" b="0"/>
            <wp:docPr id="96921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15654" name=""/>
                    <pic:cNvPicPr/>
                  </pic:nvPicPr>
                  <pic:blipFill>
                    <a:blip r:embed="rId23"/>
                    <a:stretch>
                      <a:fillRect/>
                    </a:stretch>
                  </pic:blipFill>
                  <pic:spPr>
                    <a:xfrm>
                      <a:off x="0" y="0"/>
                      <a:ext cx="5943600" cy="5187950"/>
                    </a:xfrm>
                    <a:prstGeom prst="rect">
                      <a:avLst/>
                    </a:prstGeom>
                  </pic:spPr>
                </pic:pic>
              </a:graphicData>
            </a:graphic>
          </wp:inline>
        </w:drawing>
      </w:r>
    </w:p>
    <w:p w14:paraId="2B127779" w14:textId="77777777" w:rsidR="008D4692" w:rsidRPr="00AC39B5" w:rsidRDefault="008D4692" w:rsidP="008D4692">
      <w:pPr>
        <w:pStyle w:val="BodyText"/>
        <w:rPr>
          <w:rFonts w:ascii="Times New Roman" w:hAnsi="Times New Roman" w:cs="Times New Roman"/>
        </w:rPr>
      </w:pPr>
      <w:r w:rsidRPr="00AC39B5">
        <w:rPr>
          <w:rFonts w:ascii="Times New Roman" w:hAnsi="Times New Roman" w:cs="Times New Roman"/>
        </w:rPr>
        <w:t>Figure 10.1. Admissions per patient. This figure displays the distribution of the number of admissions per patient. The distribution is heavily right-skewed, with 44.83% of patients having more than one admission. This finding justifies patient-level train/validation/test splitting to prevent leakage.</w:t>
      </w:r>
    </w:p>
    <w:p w14:paraId="50D5F5F8" w14:textId="77777777"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76047C99" wp14:editId="689A5ED1">
            <wp:extent cx="4786982" cy="1922975"/>
            <wp:effectExtent l="0" t="0" r="0" b="1270"/>
            <wp:docPr id="3320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36906" name=""/>
                    <pic:cNvPicPr/>
                  </pic:nvPicPr>
                  <pic:blipFill>
                    <a:blip r:embed="rId24"/>
                    <a:stretch>
                      <a:fillRect/>
                    </a:stretch>
                  </pic:blipFill>
                  <pic:spPr>
                    <a:xfrm>
                      <a:off x="0" y="0"/>
                      <a:ext cx="4793184" cy="1925466"/>
                    </a:xfrm>
                    <a:prstGeom prst="rect">
                      <a:avLst/>
                    </a:prstGeom>
                  </pic:spPr>
                </pic:pic>
              </a:graphicData>
            </a:graphic>
          </wp:inline>
        </w:drawing>
      </w:r>
    </w:p>
    <w:p w14:paraId="33627E62" w14:textId="48B7DE3F" w:rsidR="007B06AA" w:rsidRPr="00AC39B5" w:rsidRDefault="007B06AA" w:rsidP="00002086">
      <w:pPr>
        <w:pStyle w:val="Heading2"/>
        <w:rPr>
          <w:rFonts w:ascii="Times New Roman" w:hAnsi="Times New Roman" w:cs="Times New Roman"/>
          <w:sz w:val="24"/>
          <w:szCs w:val="24"/>
        </w:rPr>
      </w:pPr>
      <w:r w:rsidRPr="00AC39B5">
        <w:rPr>
          <w:rFonts w:ascii="Times New Roman" w:hAnsi="Times New Roman" w:cs="Times New Roman"/>
          <w:sz w:val="24"/>
          <w:szCs w:val="24"/>
        </w:rPr>
        <w:lastRenderedPageBreak/>
        <w:t>Appendix B. Supplementary Tables</w:t>
      </w:r>
    </w:p>
    <w:p w14:paraId="26F60DC8" w14:textId="52CA73F9" w:rsidR="007E52E4" w:rsidRPr="00AC39B5" w:rsidRDefault="007E52E4" w:rsidP="007E52E4">
      <w:pPr>
        <w:rPr>
          <w:rFonts w:ascii="Times New Roman" w:hAnsi="Times New Roman" w:cs="Times New Roman"/>
          <w:sz w:val="24"/>
          <w:szCs w:val="24"/>
        </w:rPr>
      </w:pPr>
      <w:r w:rsidRPr="00AC39B5">
        <w:rPr>
          <w:rFonts w:ascii="Times New Roman" w:hAnsi="Times New Roman" w:cs="Times New Roman"/>
          <w:sz w:val="24"/>
          <w:szCs w:val="24"/>
        </w:rPr>
        <w:t>Table B1. Source table volumetrics.</w:t>
      </w:r>
      <w:r w:rsidRPr="00AC39B5">
        <w:rPr>
          <w:rFonts w:ascii="Times New Roman" w:hAnsi="Times New Roman" w:cs="Times New Roman"/>
          <w:sz w:val="24"/>
          <w:szCs w:val="24"/>
        </w:rPr>
        <w:br/>
        <w:t>This table reports row counts for the source note, admission, patient, and diagnosis tables used in cohort construction.</w:t>
      </w:r>
    </w:p>
    <w:p w14:paraId="0B006B0D" w14:textId="2C443F30" w:rsidR="00D71F7C" w:rsidRPr="00AC39B5" w:rsidRDefault="00B618A3" w:rsidP="007E52E4">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5138EF1A" wp14:editId="10398A0C">
            <wp:extent cx="5893103" cy="3721291"/>
            <wp:effectExtent l="0" t="0" r="0" b="0"/>
            <wp:docPr id="2071978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78772" name=""/>
                    <pic:cNvPicPr/>
                  </pic:nvPicPr>
                  <pic:blipFill>
                    <a:blip r:embed="rId25"/>
                    <a:stretch>
                      <a:fillRect/>
                    </a:stretch>
                  </pic:blipFill>
                  <pic:spPr>
                    <a:xfrm>
                      <a:off x="0" y="0"/>
                      <a:ext cx="5893103" cy="3721291"/>
                    </a:xfrm>
                    <a:prstGeom prst="rect">
                      <a:avLst/>
                    </a:prstGeom>
                  </pic:spPr>
                </pic:pic>
              </a:graphicData>
            </a:graphic>
          </wp:inline>
        </w:drawing>
      </w:r>
    </w:p>
    <w:p w14:paraId="552515D5" w14:textId="7F88397A" w:rsidR="007E52E4" w:rsidRPr="00AC39B5" w:rsidRDefault="007E52E4" w:rsidP="007E52E4">
      <w:pPr>
        <w:rPr>
          <w:rFonts w:ascii="Times New Roman" w:hAnsi="Times New Roman" w:cs="Times New Roman"/>
          <w:sz w:val="24"/>
          <w:szCs w:val="24"/>
        </w:rPr>
      </w:pPr>
      <w:r w:rsidRPr="00AC39B5">
        <w:rPr>
          <w:rFonts w:ascii="Times New Roman" w:hAnsi="Times New Roman" w:cs="Times New Roman"/>
          <w:sz w:val="24"/>
          <w:szCs w:val="24"/>
        </w:rPr>
        <w:t>Table B2. Final cohort filtering summary.</w:t>
      </w:r>
      <w:r w:rsidRPr="00AC39B5">
        <w:rPr>
          <w:rFonts w:ascii="Times New Roman" w:hAnsi="Times New Roman" w:cs="Times New Roman"/>
          <w:sz w:val="24"/>
          <w:szCs w:val="24"/>
        </w:rPr>
        <w:br/>
        <w:t>This table decomposes the reduction from raw discharge summaries to the final modelable ICD-10 cohort, including the effects of join coverage, diagnosis version restriction, and minimum note-length filtering.</w:t>
      </w:r>
    </w:p>
    <w:p w14:paraId="1CCBE560" w14:textId="5171E06C" w:rsidR="007E52E4" w:rsidRPr="00AC39B5" w:rsidRDefault="00880A3C" w:rsidP="007E52E4">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18BB68ED" wp14:editId="1123A9C9">
            <wp:extent cx="5943600" cy="1109345"/>
            <wp:effectExtent l="0" t="0" r="0" b="0"/>
            <wp:docPr id="36201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8594" name=""/>
                    <pic:cNvPicPr/>
                  </pic:nvPicPr>
                  <pic:blipFill>
                    <a:blip r:embed="rId26"/>
                    <a:stretch>
                      <a:fillRect/>
                    </a:stretch>
                  </pic:blipFill>
                  <pic:spPr>
                    <a:xfrm>
                      <a:off x="0" y="0"/>
                      <a:ext cx="5943600" cy="1109345"/>
                    </a:xfrm>
                    <a:prstGeom prst="rect">
                      <a:avLst/>
                    </a:prstGeom>
                  </pic:spPr>
                </pic:pic>
              </a:graphicData>
            </a:graphic>
          </wp:inline>
        </w:drawing>
      </w:r>
    </w:p>
    <w:p w14:paraId="351D4F1F" w14:textId="5231F1F2" w:rsidR="00880A3C" w:rsidRPr="00AC39B5" w:rsidRDefault="00880A3C" w:rsidP="007E52E4">
      <w:pPr>
        <w:rPr>
          <w:rFonts w:ascii="Times New Roman" w:hAnsi="Times New Roman" w:cs="Times New Roman"/>
          <w:sz w:val="24"/>
          <w:szCs w:val="24"/>
        </w:rPr>
      </w:pPr>
      <w:r w:rsidRPr="00AC39B5">
        <w:rPr>
          <w:rFonts w:ascii="Times New Roman" w:hAnsi="Times New Roman" w:cs="Times New Roman"/>
          <w:sz w:val="24"/>
          <w:szCs w:val="24"/>
        </w:rPr>
        <w:t>Table B3. Top-50 ICD-10 codes and descriptions.</w:t>
      </w:r>
      <w:r w:rsidRPr="00AC39B5">
        <w:rPr>
          <w:rFonts w:ascii="Times New Roman" w:hAnsi="Times New Roman" w:cs="Times New Roman"/>
          <w:sz w:val="24"/>
          <w:szCs w:val="24"/>
        </w:rPr>
        <w:br/>
        <w:t>This table lists the final top-50 ICD-10 codes used for modeling, along with short clinical descriptions and admission frequencies.</w:t>
      </w:r>
    </w:p>
    <w:p w14:paraId="6CC6B366" w14:textId="0FD6E972" w:rsidR="00880A3C" w:rsidRPr="00AC39B5" w:rsidRDefault="007B64BD" w:rsidP="007E52E4">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42C67FDF" wp14:editId="5C99DAA1">
            <wp:extent cx="5943600" cy="3762375"/>
            <wp:effectExtent l="0" t="0" r="0" b="9525"/>
            <wp:docPr id="28089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94753" name=""/>
                    <pic:cNvPicPr/>
                  </pic:nvPicPr>
                  <pic:blipFill>
                    <a:blip r:embed="rId27"/>
                    <a:stretch>
                      <a:fillRect/>
                    </a:stretch>
                  </pic:blipFill>
                  <pic:spPr>
                    <a:xfrm>
                      <a:off x="0" y="0"/>
                      <a:ext cx="5943600" cy="3762375"/>
                    </a:xfrm>
                    <a:prstGeom prst="rect">
                      <a:avLst/>
                    </a:prstGeom>
                  </pic:spPr>
                </pic:pic>
              </a:graphicData>
            </a:graphic>
          </wp:inline>
        </w:drawing>
      </w:r>
    </w:p>
    <w:p w14:paraId="64D2AAA7" w14:textId="6370842E" w:rsidR="007B64BD" w:rsidRPr="00AC39B5" w:rsidRDefault="007B64BD" w:rsidP="007E52E4">
      <w:pPr>
        <w:rPr>
          <w:rFonts w:ascii="Times New Roman" w:hAnsi="Times New Roman" w:cs="Times New Roman"/>
          <w:sz w:val="24"/>
          <w:szCs w:val="24"/>
        </w:rPr>
      </w:pPr>
      <w:r w:rsidRPr="00AC39B5">
        <w:rPr>
          <w:rFonts w:ascii="Times New Roman" w:hAnsi="Times New Roman" w:cs="Times New Roman"/>
          <w:sz w:val="24"/>
          <w:szCs w:val="24"/>
        </w:rPr>
        <w:t>Table B4. Demographic summary of the modelable cohort.</w:t>
      </w:r>
      <w:r w:rsidRPr="00AC39B5">
        <w:rPr>
          <w:rFonts w:ascii="Times New Roman" w:hAnsi="Times New Roman" w:cs="Times New Roman"/>
          <w:sz w:val="24"/>
          <w:szCs w:val="24"/>
        </w:rPr>
        <w:br/>
        <w:t>This table reports age, sex, and admission-count characteristics of the final cohort. Any interpretation of the oldest age group should note that anchor_age is capped at 89 in MIMIC.</w:t>
      </w:r>
    </w:p>
    <w:p w14:paraId="2CDB234B" w14:textId="5F96E271" w:rsidR="00CA775F" w:rsidRPr="00AC39B5" w:rsidRDefault="00CA775F" w:rsidP="00CA775F">
      <w:pPr>
        <w:jc w:val="cente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3A79F7A5" wp14:editId="78C0DC86">
            <wp:extent cx="2927350" cy="2968775"/>
            <wp:effectExtent l="0" t="0" r="6350" b="3175"/>
            <wp:docPr id="158516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68820" name=""/>
                    <pic:cNvPicPr/>
                  </pic:nvPicPr>
                  <pic:blipFill>
                    <a:blip r:embed="rId28"/>
                    <a:stretch>
                      <a:fillRect/>
                    </a:stretch>
                  </pic:blipFill>
                  <pic:spPr>
                    <a:xfrm>
                      <a:off x="0" y="0"/>
                      <a:ext cx="2930500" cy="2971969"/>
                    </a:xfrm>
                    <a:prstGeom prst="rect">
                      <a:avLst/>
                    </a:prstGeom>
                  </pic:spPr>
                </pic:pic>
              </a:graphicData>
            </a:graphic>
          </wp:inline>
        </w:drawing>
      </w:r>
    </w:p>
    <w:p w14:paraId="5F2B0BA4" w14:textId="77777777" w:rsidR="00AC39B5" w:rsidRPr="00AC39B5" w:rsidRDefault="00AC39B5" w:rsidP="00AC39B5">
      <w:pPr>
        <w:pStyle w:val="Heading1"/>
        <w:rPr>
          <w:rFonts w:ascii="Times New Roman" w:hAnsi="Times New Roman" w:cs="Times New Roman"/>
          <w:sz w:val="24"/>
          <w:szCs w:val="24"/>
        </w:rPr>
      </w:pPr>
      <w:bookmarkStart w:id="1" w:name="appendix-c.-reproducibility-notes"/>
      <w:r w:rsidRPr="00AC39B5">
        <w:rPr>
          <w:rFonts w:ascii="Times New Roman" w:hAnsi="Times New Roman" w:cs="Times New Roman"/>
          <w:sz w:val="24"/>
          <w:szCs w:val="24"/>
        </w:rPr>
        <w:lastRenderedPageBreak/>
        <w:t>Appendix C. Reproducibility Notes</w:t>
      </w:r>
      <w:bookmarkEnd w:id="1"/>
    </w:p>
    <w:p w14:paraId="116A6B72" w14:textId="77777777" w:rsidR="00AC39B5" w:rsidRPr="00AC39B5" w:rsidRDefault="00AC39B5" w:rsidP="00AC39B5">
      <w:pPr>
        <w:pStyle w:val="FirstParagraph"/>
        <w:rPr>
          <w:rFonts w:ascii="Times New Roman" w:hAnsi="Times New Roman" w:cs="Times New Roman"/>
        </w:rPr>
      </w:pPr>
      <w:r w:rsidRPr="00AC39B5">
        <w:rPr>
          <w:rFonts w:ascii="Times New Roman" w:hAnsi="Times New Roman" w:cs="Times New Roman"/>
        </w:rPr>
        <w:t xml:space="preserve">The cohort was constructed by joining MIMIC-IV-Note v2.2 discharge summaries to MIMIC-IV Hosp v3.1 admissions and diagnosis tables using </w:t>
      </w:r>
      <w:r w:rsidRPr="00AC39B5">
        <w:rPr>
          <w:rStyle w:val="VerbatimChar"/>
          <w:rFonts w:ascii="Times New Roman" w:hAnsi="Times New Roman" w:cs="Times New Roman"/>
        </w:rPr>
        <w:t>hadm_id</w:t>
      </w:r>
      <w:r w:rsidRPr="00AC39B5">
        <w:rPr>
          <w:rFonts w:ascii="Times New Roman" w:hAnsi="Times New Roman" w:cs="Times New Roman"/>
        </w:rPr>
        <w:t xml:space="preserve"> as the stable encounter key. The final modelable cohort retained admissions with discharge-summary text, valid admission records, and at least one ICD-10 diagnosis code. Train, validation, and test splits were performed at the patient level using </w:t>
      </w:r>
      <w:r w:rsidRPr="00AC39B5">
        <w:rPr>
          <w:rStyle w:val="VerbatimChar"/>
          <w:rFonts w:ascii="Times New Roman" w:hAnsi="Times New Roman" w:cs="Times New Roman"/>
        </w:rPr>
        <w:t>subject_id</w:t>
      </w:r>
      <w:r w:rsidRPr="00AC39B5">
        <w:rPr>
          <w:rFonts w:ascii="Times New Roman" w:hAnsi="Times New Roman" w:cs="Times New Roman"/>
        </w:rPr>
        <w:t xml:space="preserve"> to avoid cross-split leakage from repeated admissions.</w:t>
      </w:r>
    </w:p>
    <w:p w14:paraId="3AA8B83A" w14:textId="77777777" w:rsidR="00AC39B5" w:rsidRPr="00AC39B5" w:rsidRDefault="00AC39B5" w:rsidP="00AC39B5">
      <w:pPr>
        <w:pStyle w:val="BodyText"/>
        <w:rPr>
          <w:rFonts w:ascii="Times New Roman" w:hAnsi="Times New Roman" w:cs="Times New Roman"/>
        </w:rPr>
      </w:pPr>
      <w:r w:rsidRPr="00AC39B5">
        <w:rPr>
          <w:rFonts w:ascii="Times New Roman" w:hAnsi="Times New Roman" w:cs="Times New Roman"/>
        </w:rPr>
        <w:t>All dates in MIMIC are shifted for de-identification and should not be interpreted as literal calendar dates. Similarly, age is top-coded at 89, which limits precision in the oldest subgroup analyses.</w:t>
      </w:r>
    </w:p>
    <w:p w14:paraId="014F58F4" w14:textId="77777777" w:rsidR="00AC39B5" w:rsidRPr="00AC39B5" w:rsidRDefault="00AC39B5" w:rsidP="00AC39B5">
      <w:pPr>
        <w:pStyle w:val="Heading1"/>
        <w:rPr>
          <w:rFonts w:ascii="Times New Roman" w:hAnsi="Times New Roman" w:cs="Times New Roman"/>
          <w:sz w:val="24"/>
          <w:szCs w:val="24"/>
        </w:rPr>
      </w:pPr>
      <w:bookmarkStart w:id="2" w:name="appendix-d.-file-references"/>
      <w:r w:rsidRPr="00AC39B5">
        <w:rPr>
          <w:rFonts w:ascii="Times New Roman" w:hAnsi="Times New Roman" w:cs="Times New Roman"/>
          <w:sz w:val="24"/>
          <w:szCs w:val="24"/>
        </w:rPr>
        <w:t>Appendix D. File References</w:t>
      </w:r>
      <w:bookmarkEnd w:id="2"/>
    </w:p>
    <w:p w14:paraId="5C142A22"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reports/figures/length_distribution.png</w:t>
      </w:r>
    </w:p>
    <w:p w14:paraId="0CA13B9D"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reports/figures/icd_version_by_year.png</w:t>
      </w:r>
    </w:p>
    <w:p w14:paraId="2078AC23"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reports/figures/icd_frequency_and_coverage.png</w:t>
      </w:r>
    </w:p>
    <w:p w14:paraId="507073BC"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reports/figures/codes_per_admission.png</w:t>
      </w:r>
    </w:p>
    <w:p w14:paraId="0514D5E8"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reports/figures/label_cooccurrence.png</w:t>
      </w:r>
    </w:p>
    <w:p w14:paraId="0B5EDA42"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reports/figures/admissions_per_patient.png</w:t>
      </w:r>
    </w:p>
    <w:p w14:paraId="2DCAFBCF" w14:textId="77777777" w:rsidR="00AC39B5" w:rsidRPr="00AC39B5" w:rsidRDefault="00AC39B5" w:rsidP="00AC39B5">
      <w:pPr>
        <w:rPr>
          <w:rFonts w:ascii="Times New Roman" w:hAnsi="Times New Roman" w:cs="Times New Roman"/>
          <w:sz w:val="24"/>
          <w:szCs w:val="24"/>
        </w:rPr>
      </w:pPr>
    </w:p>
    <w:sectPr w:rsidR="00AC39B5" w:rsidRPr="00AC39B5" w:rsidSect="008B0591">
      <w:headerReference w:type="default" r:id="rId29"/>
      <w:type w:val="continuous"/>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5F6F6" w14:textId="77777777" w:rsidR="00446647" w:rsidRDefault="00446647" w:rsidP="00B03E56">
      <w:pPr>
        <w:spacing w:after="0" w:line="240" w:lineRule="auto"/>
      </w:pPr>
      <w:r>
        <w:separator/>
      </w:r>
    </w:p>
  </w:endnote>
  <w:endnote w:type="continuationSeparator" w:id="0">
    <w:p w14:paraId="2EE511E9" w14:textId="77777777" w:rsidR="00446647" w:rsidRDefault="00446647" w:rsidP="00B03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D0AB" w14:textId="77777777" w:rsidR="00446647" w:rsidRDefault="00446647" w:rsidP="00B03E56">
      <w:pPr>
        <w:spacing w:after="0" w:line="240" w:lineRule="auto"/>
      </w:pPr>
      <w:r>
        <w:separator/>
      </w:r>
    </w:p>
  </w:footnote>
  <w:footnote w:type="continuationSeparator" w:id="0">
    <w:p w14:paraId="373BDD7C" w14:textId="77777777" w:rsidR="00446647" w:rsidRDefault="00446647" w:rsidP="00B03E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7317878"/>
      <w:docPartObj>
        <w:docPartGallery w:val="Page Numbers (Top of Page)"/>
        <w:docPartUnique/>
      </w:docPartObj>
    </w:sdtPr>
    <w:sdtEndPr>
      <w:rPr>
        <w:noProof/>
      </w:rPr>
    </w:sdtEndPr>
    <w:sdtContent>
      <w:p w14:paraId="7313061C" w14:textId="56D49AD5" w:rsidR="00134224" w:rsidRDefault="001342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32374E" w14:textId="77777777" w:rsidR="00134224" w:rsidRDefault="00134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0660D1F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69826BC"/>
    <w:multiLevelType w:val="multilevel"/>
    <w:tmpl w:val="84F2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D48B9"/>
    <w:multiLevelType w:val="multilevel"/>
    <w:tmpl w:val="2DEC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143F3"/>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E635E"/>
    <w:multiLevelType w:val="multilevel"/>
    <w:tmpl w:val="D1F0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A254A"/>
    <w:multiLevelType w:val="multilevel"/>
    <w:tmpl w:val="01BE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D34A76"/>
    <w:multiLevelType w:val="multilevel"/>
    <w:tmpl w:val="851C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E51987"/>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8B0AC2"/>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E24D2C"/>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F13A0E"/>
    <w:multiLevelType w:val="hybridMultilevel"/>
    <w:tmpl w:val="F37C6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2312C1"/>
    <w:multiLevelType w:val="multilevel"/>
    <w:tmpl w:val="383A9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F22183"/>
    <w:multiLevelType w:val="multilevel"/>
    <w:tmpl w:val="9FDE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236570"/>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EE4DC3"/>
    <w:multiLevelType w:val="multilevel"/>
    <w:tmpl w:val="E8303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701E8F"/>
    <w:multiLevelType w:val="multilevel"/>
    <w:tmpl w:val="01BE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315DCA"/>
    <w:multiLevelType w:val="multilevel"/>
    <w:tmpl w:val="00FE862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787161102">
    <w:abstractNumId w:val="1"/>
  </w:num>
  <w:num w:numId="2" w16cid:durableId="1192108104">
    <w:abstractNumId w:val="12"/>
  </w:num>
  <w:num w:numId="3" w16cid:durableId="1904218019">
    <w:abstractNumId w:val="4"/>
  </w:num>
  <w:num w:numId="4" w16cid:durableId="768551854">
    <w:abstractNumId w:val="2"/>
  </w:num>
  <w:num w:numId="5" w16cid:durableId="985625547">
    <w:abstractNumId w:val="14"/>
  </w:num>
  <w:num w:numId="6" w16cid:durableId="1397170891">
    <w:abstractNumId w:val="13"/>
  </w:num>
  <w:num w:numId="7" w16cid:durableId="787939871">
    <w:abstractNumId w:val="15"/>
  </w:num>
  <w:num w:numId="8" w16cid:durableId="416751091">
    <w:abstractNumId w:val="7"/>
  </w:num>
  <w:num w:numId="9" w16cid:durableId="1895966896">
    <w:abstractNumId w:val="3"/>
  </w:num>
  <w:num w:numId="10" w16cid:durableId="1961105918">
    <w:abstractNumId w:val="8"/>
  </w:num>
  <w:num w:numId="11" w16cid:durableId="1284772349">
    <w:abstractNumId w:val="9"/>
  </w:num>
  <w:num w:numId="12" w16cid:durableId="1412265657">
    <w:abstractNumId w:val="5"/>
  </w:num>
  <w:num w:numId="13" w16cid:durableId="941373827">
    <w:abstractNumId w:val="6"/>
  </w:num>
  <w:num w:numId="14" w16cid:durableId="1580864698">
    <w:abstractNumId w:val="10"/>
  </w:num>
  <w:num w:numId="15" w16cid:durableId="376205506">
    <w:abstractNumId w:val="11"/>
  </w:num>
  <w:num w:numId="16" w16cid:durableId="14136226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77316464">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5A9"/>
    <w:rsid w:val="00002086"/>
    <w:rsid w:val="000048AF"/>
    <w:rsid w:val="000060D5"/>
    <w:rsid w:val="00011BF7"/>
    <w:rsid w:val="00012BD0"/>
    <w:rsid w:val="00013D7D"/>
    <w:rsid w:val="00017098"/>
    <w:rsid w:val="00020E91"/>
    <w:rsid w:val="000229B3"/>
    <w:rsid w:val="00022A3B"/>
    <w:rsid w:val="00023A5E"/>
    <w:rsid w:val="00023F30"/>
    <w:rsid w:val="00027A2F"/>
    <w:rsid w:val="00032DD9"/>
    <w:rsid w:val="000339E4"/>
    <w:rsid w:val="00033AD4"/>
    <w:rsid w:val="00035415"/>
    <w:rsid w:val="00037E3B"/>
    <w:rsid w:val="000406EA"/>
    <w:rsid w:val="00046103"/>
    <w:rsid w:val="00046546"/>
    <w:rsid w:val="00046D22"/>
    <w:rsid w:val="00052F1B"/>
    <w:rsid w:val="0005334A"/>
    <w:rsid w:val="00056FD7"/>
    <w:rsid w:val="0006358E"/>
    <w:rsid w:val="000656F5"/>
    <w:rsid w:val="00066E32"/>
    <w:rsid w:val="00070D39"/>
    <w:rsid w:val="000730DF"/>
    <w:rsid w:val="000769E2"/>
    <w:rsid w:val="00076BA6"/>
    <w:rsid w:val="00080831"/>
    <w:rsid w:val="0008110A"/>
    <w:rsid w:val="00085831"/>
    <w:rsid w:val="00091C49"/>
    <w:rsid w:val="000931D0"/>
    <w:rsid w:val="00097066"/>
    <w:rsid w:val="0009779F"/>
    <w:rsid w:val="000A477F"/>
    <w:rsid w:val="000A4DE9"/>
    <w:rsid w:val="000A4EC2"/>
    <w:rsid w:val="000A5098"/>
    <w:rsid w:val="000A5979"/>
    <w:rsid w:val="000B00F7"/>
    <w:rsid w:val="000B1BF3"/>
    <w:rsid w:val="000B4E78"/>
    <w:rsid w:val="000B6D33"/>
    <w:rsid w:val="000B714E"/>
    <w:rsid w:val="000C3664"/>
    <w:rsid w:val="000D0073"/>
    <w:rsid w:val="000D0CAA"/>
    <w:rsid w:val="000D141A"/>
    <w:rsid w:val="000D16B7"/>
    <w:rsid w:val="000D1BE0"/>
    <w:rsid w:val="000D2333"/>
    <w:rsid w:val="000D3349"/>
    <w:rsid w:val="000D470C"/>
    <w:rsid w:val="000D5647"/>
    <w:rsid w:val="000D5BAF"/>
    <w:rsid w:val="000D64C6"/>
    <w:rsid w:val="000D7686"/>
    <w:rsid w:val="000E30D2"/>
    <w:rsid w:val="000E4AE0"/>
    <w:rsid w:val="000F1AB4"/>
    <w:rsid w:val="000F4690"/>
    <w:rsid w:val="00101A60"/>
    <w:rsid w:val="00103375"/>
    <w:rsid w:val="001072CF"/>
    <w:rsid w:val="001126D7"/>
    <w:rsid w:val="00113C46"/>
    <w:rsid w:val="0011457B"/>
    <w:rsid w:val="00114EC2"/>
    <w:rsid w:val="001152F5"/>
    <w:rsid w:val="00115904"/>
    <w:rsid w:val="00116592"/>
    <w:rsid w:val="00120071"/>
    <w:rsid w:val="00121487"/>
    <w:rsid w:val="00124185"/>
    <w:rsid w:val="0012531D"/>
    <w:rsid w:val="0012565B"/>
    <w:rsid w:val="00132123"/>
    <w:rsid w:val="00133D74"/>
    <w:rsid w:val="00134224"/>
    <w:rsid w:val="00137675"/>
    <w:rsid w:val="001403D1"/>
    <w:rsid w:val="001468EB"/>
    <w:rsid w:val="001476DD"/>
    <w:rsid w:val="00155C8D"/>
    <w:rsid w:val="00157342"/>
    <w:rsid w:val="00161722"/>
    <w:rsid w:val="001658C6"/>
    <w:rsid w:val="00165A83"/>
    <w:rsid w:val="001672CC"/>
    <w:rsid w:val="00174535"/>
    <w:rsid w:val="0017554E"/>
    <w:rsid w:val="0017770F"/>
    <w:rsid w:val="001806CE"/>
    <w:rsid w:val="00181AB8"/>
    <w:rsid w:val="001843B3"/>
    <w:rsid w:val="00190755"/>
    <w:rsid w:val="00190BFE"/>
    <w:rsid w:val="00190FAA"/>
    <w:rsid w:val="00191BAE"/>
    <w:rsid w:val="00191EB3"/>
    <w:rsid w:val="001931AB"/>
    <w:rsid w:val="00193ADE"/>
    <w:rsid w:val="00193CE2"/>
    <w:rsid w:val="0019545E"/>
    <w:rsid w:val="00195E85"/>
    <w:rsid w:val="0019780B"/>
    <w:rsid w:val="001A1967"/>
    <w:rsid w:val="001A409F"/>
    <w:rsid w:val="001A5948"/>
    <w:rsid w:val="001A6B7F"/>
    <w:rsid w:val="001A6D95"/>
    <w:rsid w:val="001B3807"/>
    <w:rsid w:val="001B3A48"/>
    <w:rsid w:val="001B54BC"/>
    <w:rsid w:val="001C2F07"/>
    <w:rsid w:val="001C7E6B"/>
    <w:rsid w:val="001D1A6D"/>
    <w:rsid w:val="001D2605"/>
    <w:rsid w:val="001D313A"/>
    <w:rsid w:val="001D5538"/>
    <w:rsid w:val="001E1C86"/>
    <w:rsid w:val="001E66B4"/>
    <w:rsid w:val="001F0067"/>
    <w:rsid w:val="001F42C6"/>
    <w:rsid w:val="002079F4"/>
    <w:rsid w:val="0021147D"/>
    <w:rsid w:val="002115B6"/>
    <w:rsid w:val="0021247C"/>
    <w:rsid w:val="002146A3"/>
    <w:rsid w:val="0022215A"/>
    <w:rsid w:val="0022274F"/>
    <w:rsid w:val="002247F0"/>
    <w:rsid w:val="002279D7"/>
    <w:rsid w:val="00234B8A"/>
    <w:rsid w:val="002354F3"/>
    <w:rsid w:val="00244DC8"/>
    <w:rsid w:val="00246F03"/>
    <w:rsid w:val="0024723A"/>
    <w:rsid w:val="00250006"/>
    <w:rsid w:val="00253889"/>
    <w:rsid w:val="00257E9A"/>
    <w:rsid w:val="002661D9"/>
    <w:rsid w:val="00270376"/>
    <w:rsid w:val="002729BE"/>
    <w:rsid w:val="0027459D"/>
    <w:rsid w:val="00274ABF"/>
    <w:rsid w:val="00277094"/>
    <w:rsid w:val="00282075"/>
    <w:rsid w:val="0028293E"/>
    <w:rsid w:val="00284447"/>
    <w:rsid w:val="0028522F"/>
    <w:rsid w:val="0028597D"/>
    <w:rsid w:val="002915EF"/>
    <w:rsid w:val="002916DA"/>
    <w:rsid w:val="0029587A"/>
    <w:rsid w:val="002958DC"/>
    <w:rsid w:val="00295A13"/>
    <w:rsid w:val="00296D9C"/>
    <w:rsid w:val="002A6936"/>
    <w:rsid w:val="002B11E9"/>
    <w:rsid w:val="002B656F"/>
    <w:rsid w:val="002B6EED"/>
    <w:rsid w:val="002C3AFE"/>
    <w:rsid w:val="002C646F"/>
    <w:rsid w:val="002D074F"/>
    <w:rsid w:val="002D36C4"/>
    <w:rsid w:val="002D4236"/>
    <w:rsid w:val="002D4E37"/>
    <w:rsid w:val="002D4E7E"/>
    <w:rsid w:val="002D519B"/>
    <w:rsid w:val="002D73B3"/>
    <w:rsid w:val="002E1879"/>
    <w:rsid w:val="002E1D11"/>
    <w:rsid w:val="002E2565"/>
    <w:rsid w:val="002E4B67"/>
    <w:rsid w:val="002E6FE7"/>
    <w:rsid w:val="002E712D"/>
    <w:rsid w:val="002F1DC6"/>
    <w:rsid w:val="002F213A"/>
    <w:rsid w:val="002F2933"/>
    <w:rsid w:val="002F629C"/>
    <w:rsid w:val="002F7888"/>
    <w:rsid w:val="00302EA4"/>
    <w:rsid w:val="003042AA"/>
    <w:rsid w:val="003076C7"/>
    <w:rsid w:val="0031116D"/>
    <w:rsid w:val="0031208B"/>
    <w:rsid w:val="003161CA"/>
    <w:rsid w:val="00317072"/>
    <w:rsid w:val="003179E5"/>
    <w:rsid w:val="003302BF"/>
    <w:rsid w:val="003309E6"/>
    <w:rsid w:val="0033311E"/>
    <w:rsid w:val="00334CDB"/>
    <w:rsid w:val="003472BC"/>
    <w:rsid w:val="00351780"/>
    <w:rsid w:val="00351D38"/>
    <w:rsid w:val="0035519E"/>
    <w:rsid w:val="00356873"/>
    <w:rsid w:val="0036183F"/>
    <w:rsid w:val="00363A54"/>
    <w:rsid w:val="00370C18"/>
    <w:rsid w:val="0037227D"/>
    <w:rsid w:val="00372371"/>
    <w:rsid w:val="00372A50"/>
    <w:rsid w:val="00375759"/>
    <w:rsid w:val="00380E42"/>
    <w:rsid w:val="003815FB"/>
    <w:rsid w:val="003834C6"/>
    <w:rsid w:val="00384CA4"/>
    <w:rsid w:val="00387E84"/>
    <w:rsid w:val="00387EFC"/>
    <w:rsid w:val="003906EA"/>
    <w:rsid w:val="00392651"/>
    <w:rsid w:val="00392F00"/>
    <w:rsid w:val="00393CBC"/>
    <w:rsid w:val="003962D0"/>
    <w:rsid w:val="003A06A6"/>
    <w:rsid w:val="003A189D"/>
    <w:rsid w:val="003A25BF"/>
    <w:rsid w:val="003A48D0"/>
    <w:rsid w:val="003A49C1"/>
    <w:rsid w:val="003A4A8A"/>
    <w:rsid w:val="003B1B0A"/>
    <w:rsid w:val="003B1F0B"/>
    <w:rsid w:val="003B44D2"/>
    <w:rsid w:val="003C0794"/>
    <w:rsid w:val="003C4074"/>
    <w:rsid w:val="003C6676"/>
    <w:rsid w:val="003D13C7"/>
    <w:rsid w:val="003D241A"/>
    <w:rsid w:val="003D25A0"/>
    <w:rsid w:val="003D27A1"/>
    <w:rsid w:val="003D3E3F"/>
    <w:rsid w:val="003D42A8"/>
    <w:rsid w:val="003D43D7"/>
    <w:rsid w:val="003D4BFF"/>
    <w:rsid w:val="003D6379"/>
    <w:rsid w:val="003D7536"/>
    <w:rsid w:val="003E7FF2"/>
    <w:rsid w:val="003F0F95"/>
    <w:rsid w:val="003F1A87"/>
    <w:rsid w:val="003F2482"/>
    <w:rsid w:val="003F2FE2"/>
    <w:rsid w:val="0040299A"/>
    <w:rsid w:val="0040312B"/>
    <w:rsid w:val="0040319B"/>
    <w:rsid w:val="00410976"/>
    <w:rsid w:val="004115B4"/>
    <w:rsid w:val="00422AF7"/>
    <w:rsid w:val="00431B07"/>
    <w:rsid w:val="00436059"/>
    <w:rsid w:val="00436136"/>
    <w:rsid w:val="004377DF"/>
    <w:rsid w:val="0044046C"/>
    <w:rsid w:val="00442041"/>
    <w:rsid w:val="00442749"/>
    <w:rsid w:val="004458CF"/>
    <w:rsid w:val="00446647"/>
    <w:rsid w:val="004500E6"/>
    <w:rsid w:val="00461736"/>
    <w:rsid w:val="00463882"/>
    <w:rsid w:val="0046589C"/>
    <w:rsid w:val="004714DE"/>
    <w:rsid w:val="004763FC"/>
    <w:rsid w:val="00476882"/>
    <w:rsid w:val="0048090F"/>
    <w:rsid w:val="0048213E"/>
    <w:rsid w:val="0048497C"/>
    <w:rsid w:val="004920D2"/>
    <w:rsid w:val="004932F8"/>
    <w:rsid w:val="004A0DC4"/>
    <w:rsid w:val="004A34F7"/>
    <w:rsid w:val="004A3B3D"/>
    <w:rsid w:val="004B2F09"/>
    <w:rsid w:val="004B500C"/>
    <w:rsid w:val="004B60AA"/>
    <w:rsid w:val="004B6ED2"/>
    <w:rsid w:val="004C2513"/>
    <w:rsid w:val="004C2529"/>
    <w:rsid w:val="004C7311"/>
    <w:rsid w:val="004C7EFC"/>
    <w:rsid w:val="004D1837"/>
    <w:rsid w:val="004D5089"/>
    <w:rsid w:val="004D5623"/>
    <w:rsid w:val="004D5E1C"/>
    <w:rsid w:val="004D73D9"/>
    <w:rsid w:val="004E1500"/>
    <w:rsid w:val="004E1AFA"/>
    <w:rsid w:val="004E39D7"/>
    <w:rsid w:val="004E7956"/>
    <w:rsid w:val="004F1C93"/>
    <w:rsid w:val="004F2F9C"/>
    <w:rsid w:val="004F71D7"/>
    <w:rsid w:val="0050054B"/>
    <w:rsid w:val="005009C2"/>
    <w:rsid w:val="005027CF"/>
    <w:rsid w:val="00502A37"/>
    <w:rsid w:val="00502FB1"/>
    <w:rsid w:val="00505832"/>
    <w:rsid w:val="0051199E"/>
    <w:rsid w:val="0051502C"/>
    <w:rsid w:val="00531F09"/>
    <w:rsid w:val="00534C76"/>
    <w:rsid w:val="005354D5"/>
    <w:rsid w:val="005370EE"/>
    <w:rsid w:val="00542BAC"/>
    <w:rsid w:val="005436EC"/>
    <w:rsid w:val="00547C62"/>
    <w:rsid w:val="0055155C"/>
    <w:rsid w:val="00551E40"/>
    <w:rsid w:val="00553023"/>
    <w:rsid w:val="0055675C"/>
    <w:rsid w:val="00557F28"/>
    <w:rsid w:val="005603DC"/>
    <w:rsid w:val="00561E8C"/>
    <w:rsid w:val="00575E70"/>
    <w:rsid w:val="00580E27"/>
    <w:rsid w:val="00586A84"/>
    <w:rsid w:val="00591B93"/>
    <w:rsid w:val="00594CDC"/>
    <w:rsid w:val="005A26D1"/>
    <w:rsid w:val="005A425E"/>
    <w:rsid w:val="005A50DC"/>
    <w:rsid w:val="005B2C1C"/>
    <w:rsid w:val="005B39C2"/>
    <w:rsid w:val="005B3BA1"/>
    <w:rsid w:val="005C1FB9"/>
    <w:rsid w:val="005C22C1"/>
    <w:rsid w:val="005C31E0"/>
    <w:rsid w:val="005C75E1"/>
    <w:rsid w:val="005D4A72"/>
    <w:rsid w:val="005D753E"/>
    <w:rsid w:val="005E0360"/>
    <w:rsid w:val="005E1C46"/>
    <w:rsid w:val="005E5403"/>
    <w:rsid w:val="005E5FE6"/>
    <w:rsid w:val="005F01C5"/>
    <w:rsid w:val="005F1326"/>
    <w:rsid w:val="005F1B89"/>
    <w:rsid w:val="005F42D2"/>
    <w:rsid w:val="005F472D"/>
    <w:rsid w:val="005F79E2"/>
    <w:rsid w:val="0060097C"/>
    <w:rsid w:val="006077D1"/>
    <w:rsid w:val="006104E1"/>
    <w:rsid w:val="00611F90"/>
    <w:rsid w:val="00612F92"/>
    <w:rsid w:val="00612FBE"/>
    <w:rsid w:val="00612FE5"/>
    <w:rsid w:val="00620245"/>
    <w:rsid w:val="00621AFD"/>
    <w:rsid w:val="00626E7B"/>
    <w:rsid w:val="00627B71"/>
    <w:rsid w:val="00627E4F"/>
    <w:rsid w:val="00630816"/>
    <w:rsid w:val="00635B96"/>
    <w:rsid w:val="00640080"/>
    <w:rsid w:val="006404F8"/>
    <w:rsid w:val="00645E6D"/>
    <w:rsid w:val="00651AB2"/>
    <w:rsid w:val="00654EB2"/>
    <w:rsid w:val="00655564"/>
    <w:rsid w:val="006617A1"/>
    <w:rsid w:val="00661D0A"/>
    <w:rsid w:val="0066237A"/>
    <w:rsid w:val="00667296"/>
    <w:rsid w:val="00667B6D"/>
    <w:rsid w:val="0067416A"/>
    <w:rsid w:val="00674591"/>
    <w:rsid w:val="00674B0B"/>
    <w:rsid w:val="006754CF"/>
    <w:rsid w:val="00677934"/>
    <w:rsid w:val="00680164"/>
    <w:rsid w:val="00680624"/>
    <w:rsid w:val="00680903"/>
    <w:rsid w:val="00684A75"/>
    <w:rsid w:val="006856FF"/>
    <w:rsid w:val="00690063"/>
    <w:rsid w:val="00691952"/>
    <w:rsid w:val="00692354"/>
    <w:rsid w:val="00692A40"/>
    <w:rsid w:val="00693AD1"/>
    <w:rsid w:val="006A10D1"/>
    <w:rsid w:val="006A304B"/>
    <w:rsid w:val="006B0366"/>
    <w:rsid w:val="006B24C2"/>
    <w:rsid w:val="006B50DD"/>
    <w:rsid w:val="006C30C2"/>
    <w:rsid w:val="006C3275"/>
    <w:rsid w:val="006C37E6"/>
    <w:rsid w:val="006C574F"/>
    <w:rsid w:val="006C617C"/>
    <w:rsid w:val="006E20CC"/>
    <w:rsid w:val="006E7982"/>
    <w:rsid w:val="006E7DE8"/>
    <w:rsid w:val="006F0866"/>
    <w:rsid w:val="006F149B"/>
    <w:rsid w:val="006F477B"/>
    <w:rsid w:val="006F634F"/>
    <w:rsid w:val="006F7274"/>
    <w:rsid w:val="00700F2C"/>
    <w:rsid w:val="00703D7D"/>
    <w:rsid w:val="0070483E"/>
    <w:rsid w:val="0071131B"/>
    <w:rsid w:val="00711637"/>
    <w:rsid w:val="007120C0"/>
    <w:rsid w:val="007125D3"/>
    <w:rsid w:val="00712C80"/>
    <w:rsid w:val="00713326"/>
    <w:rsid w:val="00715168"/>
    <w:rsid w:val="007153C0"/>
    <w:rsid w:val="007171C2"/>
    <w:rsid w:val="00717630"/>
    <w:rsid w:val="00724FDA"/>
    <w:rsid w:val="00725ED6"/>
    <w:rsid w:val="007302B3"/>
    <w:rsid w:val="007368C7"/>
    <w:rsid w:val="00737FF5"/>
    <w:rsid w:val="00740E90"/>
    <w:rsid w:val="00743DC1"/>
    <w:rsid w:val="00757E13"/>
    <w:rsid w:val="00760AB8"/>
    <w:rsid w:val="00760FEA"/>
    <w:rsid w:val="00762A21"/>
    <w:rsid w:val="00762AF5"/>
    <w:rsid w:val="00764103"/>
    <w:rsid w:val="00764F5E"/>
    <w:rsid w:val="00766890"/>
    <w:rsid w:val="00767710"/>
    <w:rsid w:val="00770C4A"/>
    <w:rsid w:val="00771F3A"/>
    <w:rsid w:val="007735B0"/>
    <w:rsid w:val="007741E8"/>
    <w:rsid w:val="0077487B"/>
    <w:rsid w:val="00774EBF"/>
    <w:rsid w:val="00776313"/>
    <w:rsid w:val="007800CB"/>
    <w:rsid w:val="00781698"/>
    <w:rsid w:val="007819EE"/>
    <w:rsid w:val="0078218F"/>
    <w:rsid w:val="00783F01"/>
    <w:rsid w:val="00785BE0"/>
    <w:rsid w:val="00792A26"/>
    <w:rsid w:val="0079390B"/>
    <w:rsid w:val="00793EBF"/>
    <w:rsid w:val="007A01CB"/>
    <w:rsid w:val="007A15B7"/>
    <w:rsid w:val="007A1BDD"/>
    <w:rsid w:val="007A2F1C"/>
    <w:rsid w:val="007A363E"/>
    <w:rsid w:val="007A3B27"/>
    <w:rsid w:val="007A3D96"/>
    <w:rsid w:val="007A528E"/>
    <w:rsid w:val="007A5FEF"/>
    <w:rsid w:val="007A7336"/>
    <w:rsid w:val="007B06AA"/>
    <w:rsid w:val="007B3582"/>
    <w:rsid w:val="007B5D98"/>
    <w:rsid w:val="007B64BD"/>
    <w:rsid w:val="007C0DDE"/>
    <w:rsid w:val="007D15FF"/>
    <w:rsid w:val="007D4D2C"/>
    <w:rsid w:val="007D4EED"/>
    <w:rsid w:val="007E1658"/>
    <w:rsid w:val="007E1FC5"/>
    <w:rsid w:val="007E52E4"/>
    <w:rsid w:val="007F13F9"/>
    <w:rsid w:val="007F1570"/>
    <w:rsid w:val="007F31FF"/>
    <w:rsid w:val="007F550C"/>
    <w:rsid w:val="007F6C02"/>
    <w:rsid w:val="0080226E"/>
    <w:rsid w:val="008039B5"/>
    <w:rsid w:val="008048B1"/>
    <w:rsid w:val="0080495E"/>
    <w:rsid w:val="00806E91"/>
    <w:rsid w:val="008114E5"/>
    <w:rsid w:val="00813845"/>
    <w:rsid w:val="00817EA7"/>
    <w:rsid w:val="00825096"/>
    <w:rsid w:val="00825BF8"/>
    <w:rsid w:val="008266A1"/>
    <w:rsid w:val="00826D7A"/>
    <w:rsid w:val="008320A3"/>
    <w:rsid w:val="008401CB"/>
    <w:rsid w:val="0084508E"/>
    <w:rsid w:val="00846372"/>
    <w:rsid w:val="0085370A"/>
    <w:rsid w:val="00855E49"/>
    <w:rsid w:val="008657F8"/>
    <w:rsid w:val="008739F6"/>
    <w:rsid w:val="00875F60"/>
    <w:rsid w:val="00877C7F"/>
    <w:rsid w:val="00880A3C"/>
    <w:rsid w:val="00881265"/>
    <w:rsid w:val="00882632"/>
    <w:rsid w:val="00883DCF"/>
    <w:rsid w:val="00886BC6"/>
    <w:rsid w:val="00887ADD"/>
    <w:rsid w:val="00890D92"/>
    <w:rsid w:val="008917F0"/>
    <w:rsid w:val="00894CEA"/>
    <w:rsid w:val="008957D5"/>
    <w:rsid w:val="00897069"/>
    <w:rsid w:val="008A0501"/>
    <w:rsid w:val="008A1D82"/>
    <w:rsid w:val="008A2948"/>
    <w:rsid w:val="008A54D6"/>
    <w:rsid w:val="008B0591"/>
    <w:rsid w:val="008B1C64"/>
    <w:rsid w:val="008B395F"/>
    <w:rsid w:val="008B43AD"/>
    <w:rsid w:val="008B5FFB"/>
    <w:rsid w:val="008C148A"/>
    <w:rsid w:val="008C1FC9"/>
    <w:rsid w:val="008D2858"/>
    <w:rsid w:val="008D2D0B"/>
    <w:rsid w:val="008D356C"/>
    <w:rsid w:val="008D3E08"/>
    <w:rsid w:val="008D4692"/>
    <w:rsid w:val="008E0430"/>
    <w:rsid w:val="008F0820"/>
    <w:rsid w:val="008F135F"/>
    <w:rsid w:val="008F47CA"/>
    <w:rsid w:val="008F497E"/>
    <w:rsid w:val="008F53A8"/>
    <w:rsid w:val="008F5FD8"/>
    <w:rsid w:val="008F6497"/>
    <w:rsid w:val="008F7CCA"/>
    <w:rsid w:val="00902EE2"/>
    <w:rsid w:val="0090675A"/>
    <w:rsid w:val="00911749"/>
    <w:rsid w:val="00913A9E"/>
    <w:rsid w:val="00913F57"/>
    <w:rsid w:val="009161E2"/>
    <w:rsid w:val="00917883"/>
    <w:rsid w:val="00921B0F"/>
    <w:rsid w:val="00923F2C"/>
    <w:rsid w:val="00927A64"/>
    <w:rsid w:val="00933AD9"/>
    <w:rsid w:val="00935EDE"/>
    <w:rsid w:val="0093639F"/>
    <w:rsid w:val="0094371F"/>
    <w:rsid w:val="00943BF8"/>
    <w:rsid w:val="00943DB8"/>
    <w:rsid w:val="00944DD5"/>
    <w:rsid w:val="00950912"/>
    <w:rsid w:val="00952625"/>
    <w:rsid w:val="0095279D"/>
    <w:rsid w:val="00961F8B"/>
    <w:rsid w:val="0096496C"/>
    <w:rsid w:val="00965668"/>
    <w:rsid w:val="009657F0"/>
    <w:rsid w:val="00966A92"/>
    <w:rsid w:val="00970A3B"/>
    <w:rsid w:val="00973A74"/>
    <w:rsid w:val="00981C81"/>
    <w:rsid w:val="00982DD1"/>
    <w:rsid w:val="00991B78"/>
    <w:rsid w:val="009925A6"/>
    <w:rsid w:val="00993111"/>
    <w:rsid w:val="009A1E02"/>
    <w:rsid w:val="009A21BE"/>
    <w:rsid w:val="009A7BE2"/>
    <w:rsid w:val="009B4772"/>
    <w:rsid w:val="009C3F22"/>
    <w:rsid w:val="009C6C6F"/>
    <w:rsid w:val="009C738E"/>
    <w:rsid w:val="009D62DB"/>
    <w:rsid w:val="009D6AC3"/>
    <w:rsid w:val="009D75AD"/>
    <w:rsid w:val="009E1BC4"/>
    <w:rsid w:val="009E1CEB"/>
    <w:rsid w:val="009E3C40"/>
    <w:rsid w:val="009E4CA6"/>
    <w:rsid w:val="009E6A67"/>
    <w:rsid w:val="009E6A6C"/>
    <w:rsid w:val="009E7A57"/>
    <w:rsid w:val="009E7B07"/>
    <w:rsid w:val="009F089E"/>
    <w:rsid w:val="009F1C2C"/>
    <w:rsid w:val="009F3BA1"/>
    <w:rsid w:val="00A027C1"/>
    <w:rsid w:val="00A0396B"/>
    <w:rsid w:val="00A051E0"/>
    <w:rsid w:val="00A131F1"/>
    <w:rsid w:val="00A150FB"/>
    <w:rsid w:val="00A15C06"/>
    <w:rsid w:val="00A21F41"/>
    <w:rsid w:val="00A22B4B"/>
    <w:rsid w:val="00A24818"/>
    <w:rsid w:val="00A27820"/>
    <w:rsid w:val="00A30B27"/>
    <w:rsid w:val="00A30FD9"/>
    <w:rsid w:val="00A32232"/>
    <w:rsid w:val="00A33BF4"/>
    <w:rsid w:val="00A374E8"/>
    <w:rsid w:val="00A43939"/>
    <w:rsid w:val="00A439F8"/>
    <w:rsid w:val="00A44822"/>
    <w:rsid w:val="00A46953"/>
    <w:rsid w:val="00A53527"/>
    <w:rsid w:val="00A54419"/>
    <w:rsid w:val="00A54A9A"/>
    <w:rsid w:val="00A5600E"/>
    <w:rsid w:val="00A60781"/>
    <w:rsid w:val="00A64B31"/>
    <w:rsid w:val="00A71C11"/>
    <w:rsid w:val="00A748E8"/>
    <w:rsid w:val="00A80E86"/>
    <w:rsid w:val="00A813EE"/>
    <w:rsid w:val="00A82F37"/>
    <w:rsid w:val="00A839A8"/>
    <w:rsid w:val="00A84D2E"/>
    <w:rsid w:val="00A91802"/>
    <w:rsid w:val="00A9461E"/>
    <w:rsid w:val="00AA0355"/>
    <w:rsid w:val="00AA04DB"/>
    <w:rsid w:val="00AA2B19"/>
    <w:rsid w:val="00AA6C15"/>
    <w:rsid w:val="00AA6C9E"/>
    <w:rsid w:val="00AB65B7"/>
    <w:rsid w:val="00AC0344"/>
    <w:rsid w:val="00AC135F"/>
    <w:rsid w:val="00AC39B5"/>
    <w:rsid w:val="00AC428E"/>
    <w:rsid w:val="00AC5178"/>
    <w:rsid w:val="00AC73C5"/>
    <w:rsid w:val="00AD0230"/>
    <w:rsid w:val="00AD0641"/>
    <w:rsid w:val="00AD1743"/>
    <w:rsid w:val="00AD48BD"/>
    <w:rsid w:val="00AD7780"/>
    <w:rsid w:val="00AE0625"/>
    <w:rsid w:val="00AF001A"/>
    <w:rsid w:val="00AF2F30"/>
    <w:rsid w:val="00AF33F9"/>
    <w:rsid w:val="00AF3B58"/>
    <w:rsid w:val="00AF7E1E"/>
    <w:rsid w:val="00B03E56"/>
    <w:rsid w:val="00B063BE"/>
    <w:rsid w:val="00B1061B"/>
    <w:rsid w:val="00B12DE5"/>
    <w:rsid w:val="00B14696"/>
    <w:rsid w:val="00B14D65"/>
    <w:rsid w:val="00B154B7"/>
    <w:rsid w:val="00B217AD"/>
    <w:rsid w:val="00B24207"/>
    <w:rsid w:val="00B2469C"/>
    <w:rsid w:val="00B30B7B"/>
    <w:rsid w:val="00B30F35"/>
    <w:rsid w:val="00B31337"/>
    <w:rsid w:val="00B33005"/>
    <w:rsid w:val="00B400B8"/>
    <w:rsid w:val="00B41374"/>
    <w:rsid w:val="00B449BC"/>
    <w:rsid w:val="00B47E6D"/>
    <w:rsid w:val="00B51FBA"/>
    <w:rsid w:val="00B53417"/>
    <w:rsid w:val="00B53C92"/>
    <w:rsid w:val="00B55D20"/>
    <w:rsid w:val="00B618A3"/>
    <w:rsid w:val="00B62E76"/>
    <w:rsid w:val="00B63186"/>
    <w:rsid w:val="00B64A04"/>
    <w:rsid w:val="00B708B3"/>
    <w:rsid w:val="00B7213E"/>
    <w:rsid w:val="00B76CF8"/>
    <w:rsid w:val="00B777F3"/>
    <w:rsid w:val="00B854C6"/>
    <w:rsid w:val="00B900B2"/>
    <w:rsid w:val="00B913A7"/>
    <w:rsid w:val="00B926EA"/>
    <w:rsid w:val="00B92F13"/>
    <w:rsid w:val="00B95182"/>
    <w:rsid w:val="00B95825"/>
    <w:rsid w:val="00BA045C"/>
    <w:rsid w:val="00BA2097"/>
    <w:rsid w:val="00BA31D6"/>
    <w:rsid w:val="00BA3977"/>
    <w:rsid w:val="00BA5BDF"/>
    <w:rsid w:val="00BA61AD"/>
    <w:rsid w:val="00BB360C"/>
    <w:rsid w:val="00BB4AE1"/>
    <w:rsid w:val="00BB4E4D"/>
    <w:rsid w:val="00BB4F20"/>
    <w:rsid w:val="00BB56C8"/>
    <w:rsid w:val="00BC206E"/>
    <w:rsid w:val="00BC4A02"/>
    <w:rsid w:val="00BC4EEA"/>
    <w:rsid w:val="00BC696F"/>
    <w:rsid w:val="00BC72F7"/>
    <w:rsid w:val="00BC7577"/>
    <w:rsid w:val="00BD0D00"/>
    <w:rsid w:val="00BD1237"/>
    <w:rsid w:val="00BD1761"/>
    <w:rsid w:val="00BD2239"/>
    <w:rsid w:val="00BD2DF1"/>
    <w:rsid w:val="00BD32DB"/>
    <w:rsid w:val="00BD339F"/>
    <w:rsid w:val="00BD41ED"/>
    <w:rsid w:val="00BD4B5B"/>
    <w:rsid w:val="00BD6A2C"/>
    <w:rsid w:val="00BD7B38"/>
    <w:rsid w:val="00BE17F5"/>
    <w:rsid w:val="00BE19B5"/>
    <w:rsid w:val="00BF1825"/>
    <w:rsid w:val="00BF184C"/>
    <w:rsid w:val="00BF22B8"/>
    <w:rsid w:val="00BF3545"/>
    <w:rsid w:val="00BF4C0C"/>
    <w:rsid w:val="00C04A60"/>
    <w:rsid w:val="00C04C41"/>
    <w:rsid w:val="00C0503B"/>
    <w:rsid w:val="00C1515D"/>
    <w:rsid w:val="00C173B2"/>
    <w:rsid w:val="00C22496"/>
    <w:rsid w:val="00C24F71"/>
    <w:rsid w:val="00C276B4"/>
    <w:rsid w:val="00C32AB3"/>
    <w:rsid w:val="00C41C3F"/>
    <w:rsid w:val="00C43057"/>
    <w:rsid w:val="00C4308D"/>
    <w:rsid w:val="00C476FF"/>
    <w:rsid w:val="00C47D1D"/>
    <w:rsid w:val="00C521B8"/>
    <w:rsid w:val="00C5352E"/>
    <w:rsid w:val="00C5424D"/>
    <w:rsid w:val="00C61DD1"/>
    <w:rsid w:val="00C6571E"/>
    <w:rsid w:val="00C66A8F"/>
    <w:rsid w:val="00C71D7A"/>
    <w:rsid w:val="00C72BB7"/>
    <w:rsid w:val="00C72E4D"/>
    <w:rsid w:val="00C74949"/>
    <w:rsid w:val="00C74F90"/>
    <w:rsid w:val="00C75744"/>
    <w:rsid w:val="00C76967"/>
    <w:rsid w:val="00C820A8"/>
    <w:rsid w:val="00C823C0"/>
    <w:rsid w:val="00C87356"/>
    <w:rsid w:val="00C90552"/>
    <w:rsid w:val="00C940B9"/>
    <w:rsid w:val="00C9491F"/>
    <w:rsid w:val="00C95297"/>
    <w:rsid w:val="00C96988"/>
    <w:rsid w:val="00CA27D6"/>
    <w:rsid w:val="00CA775F"/>
    <w:rsid w:val="00CB0235"/>
    <w:rsid w:val="00CB151D"/>
    <w:rsid w:val="00CB1594"/>
    <w:rsid w:val="00CB188F"/>
    <w:rsid w:val="00CB2061"/>
    <w:rsid w:val="00CB3737"/>
    <w:rsid w:val="00CB3799"/>
    <w:rsid w:val="00CB428C"/>
    <w:rsid w:val="00CB5625"/>
    <w:rsid w:val="00CB7825"/>
    <w:rsid w:val="00CB7A3E"/>
    <w:rsid w:val="00CC0AAE"/>
    <w:rsid w:val="00CC75E1"/>
    <w:rsid w:val="00CD0FD3"/>
    <w:rsid w:val="00CD4B33"/>
    <w:rsid w:val="00CD6B54"/>
    <w:rsid w:val="00CD797F"/>
    <w:rsid w:val="00CE25DE"/>
    <w:rsid w:val="00CE52E3"/>
    <w:rsid w:val="00CE5693"/>
    <w:rsid w:val="00CE7AB8"/>
    <w:rsid w:val="00CF1CCD"/>
    <w:rsid w:val="00CF28B7"/>
    <w:rsid w:val="00CF36AB"/>
    <w:rsid w:val="00CF3D50"/>
    <w:rsid w:val="00CF3E88"/>
    <w:rsid w:val="00CF5A4C"/>
    <w:rsid w:val="00D03B57"/>
    <w:rsid w:val="00D04EAA"/>
    <w:rsid w:val="00D12F6F"/>
    <w:rsid w:val="00D130A0"/>
    <w:rsid w:val="00D1440C"/>
    <w:rsid w:val="00D169DA"/>
    <w:rsid w:val="00D2013D"/>
    <w:rsid w:val="00D25632"/>
    <w:rsid w:val="00D25F9D"/>
    <w:rsid w:val="00D26B62"/>
    <w:rsid w:val="00D316C1"/>
    <w:rsid w:val="00D32517"/>
    <w:rsid w:val="00D332F6"/>
    <w:rsid w:val="00D367AD"/>
    <w:rsid w:val="00D36DD3"/>
    <w:rsid w:val="00D41981"/>
    <w:rsid w:val="00D4557A"/>
    <w:rsid w:val="00D456A0"/>
    <w:rsid w:val="00D47172"/>
    <w:rsid w:val="00D51A4A"/>
    <w:rsid w:val="00D52041"/>
    <w:rsid w:val="00D52D65"/>
    <w:rsid w:val="00D53908"/>
    <w:rsid w:val="00D5446D"/>
    <w:rsid w:val="00D56D94"/>
    <w:rsid w:val="00D6525D"/>
    <w:rsid w:val="00D71F7C"/>
    <w:rsid w:val="00D737B0"/>
    <w:rsid w:val="00D74EAF"/>
    <w:rsid w:val="00D75AFA"/>
    <w:rsid w:val="00D77543"/>
    <w:rsid w:val="00D82F33"/>
    <w:rsid w:val="00D83CD1"/>
    <w:rsid w:val="00D877C3"/>
    <w:rsid w:val="00D90152"/>
    <w:rsid w:val="00D96EC6"/>
    <w:rsid w:val="00D9725C"/>
    <w:rsid w:val="00D9778D"/>
    <w:rsid w:val="00DA25E0"/>
    <w:rsid w:val="00DA2F30"/>
    <w:rsid w:val="00DC5DC6"/>
    <w:rsid w:val="00DD1DD7"/>
    <w:rsid w:val="00DD4DD2"/>
    <w:rsid w:val="00DD5701"/>
    <w:rsid w:val="00DE1537"/>
    <w:rsid w:val="00DE1558"/>
    <w:rsid w:val="00DE44B7"/>
    <w:rsid w:val="00DE6358"/>
    <w:rsid w:val="00DE7E72"/>
    <w:rsid w:val="00DF7295"/>
    <w:rsid w:val="00E01F70"/>
    <w:rsid w:val="00E03462"/>
    <w:rsid w:val="00E041B8"/>
    <w:rsid w:val="00E05CBE"/>
    <w:rsid w:val="00E06D2E"/>
    <w:rsid w:val="00E12670"/>
    <w:rsid w:val="00E14902"/>
    <w:rsid w:val="00E17496"/>
    <w:rsid w:val="00E221B7"/>
    <w:rsid w:val="00E23368"/>
    <w:rsid w:val="00E254DD"/>
    <w:rsid w:val="00E27EE6"/>
    <w:rsid w:val="00E40F38"/>
    <w:rsid w:val="00E417E7"/>
    <w:rsid w:val="00E4340C"/>
    <w:rsid w:val="00E4416D"/>
    <w:rsid w:val="00E458E9"/>
    <w:rsid w:val="00E5702B"/>
    <w:rsid w:val="00E655C5"/>
    <w:rsid w:val="00E65B9C"/>
    <w:rsid w:val="00E67113"/>
    <w:rsid w:val="00E724E7"/>
    <w:rsid w:val="00E72FC1"/>
    <w:rsid w:val="00E74136"/>
    <w:rsid w:val="00E758F7"/>
    <w:rsid w:val="00E77B4A"/>
    <w:rsid w:val="00E82B59"/>
    <w:rsid w:val="00E8346E"/>
    <w:rsid w:val="00E83638"/>
    <w:rsid w:val="00E85375"/>
    <w:rsid w:val="00E85385"/>
    <w:rsid w:val="00E953BF"/>
    <w:rsid w:val="00EA5060"/>
    <w:rsid w:val="00EA75A9"/>
    <w:rsid w:val="00EB3E71"/>
    <w:rsid w:val="00EC0E67"/>
    <w:rsid w:val="00EC45B0"/>
    <w:rsid w:val="00EC5390"/>
    <w:rsid w:val="00ED0A42"/>
    <w:rsid w:val="00ED4A5A"/>
    <w:rsid w:val="00ED5609"/>
    <w:rsid w:val="00EE1A82"/>
    <w:rsid w:val="00EE4E14"/>
    <w:rsid w:val="00EE57F8"/>
    <w:rsid w:val="00EF0DD9"/>
    <w:rsid w:val="00EF13D0"/>
    <w:rsid w:val="00EF7B65"/>
    <w:rsid w:val="00EF7EB8"/>
    <w:rsid w:val="00F05545"/>
    <w:rsid w:val="00F05E91"/>
    <w:rsid w:val="00F0620F"/>
    <w:rsid w:val="00F07546"/>
    <w:rsid w:val="00F11A60"/>
    <w:rsid w:val="00F15083"/>
    <w:rsid w:val="00F166A6"/>
    <w:rsid w:val="00F3162E"/>
    <w:rsid w:val="00F31CE8"/>
    <w:rsid w:val="00F31FE5"/>
    <w:rsid w:val="00F355D2"/>
    <w:rsid w:val="00F40E92"/>
    <w:rsid w:val="00F41717"/>
    <w:rsid w:val="00F41F2F"/>
    <w:rsid w:val="00F425F6"/>
    <w:rsid w:val="00F42A84"/>
    <w:rsid w:val="00F43401"/>
    <w:rsid w:val="00F43960"/>
    <w:rsid w:val="00F43D3D"/>
    <w:rsid w:val="00F45C3A"/>
    <w:rsid w:val="00F47D81"/>
    <w:rsid w:val="00F47F05"/>
    <w:rsid w:val="00F56276"/>
    <w:rsid w:val="00F56544"/>
    <w:rsid w:val="00F609BD"/>
    <w:rsid w:val="00F627A8"/>
    <w:rsid w:val="00F647AA"/>
    <w:rsid w:val="00F66BFB"/>
    <w:rsid w:val="00F71E97"/>
    <w:rsid w:val="00F7648E"/>
    <w:rsid w:val="00F773D3"/>
    <w:rsid w:val="00F8357F"/>
    <w:rsid w:val="00F849EE"/>
    <w:rsid w:val="00F85C44"/>
    <w:rsid w:val="00F85FAD"/>
    <w:rsid w:val="00F87A9E"/>
    <w:rsid w:val="00F9037A"/>
    <w:rsid w:val="00F90769"/>
    <w:rsid w:val="00FA1510"/>
    <w:rsid w:val="00FA1A5D"/>
    <w:rsid w:val="00FA52DC"/>
    <w:rsid w:val="00FA6395"/>
    <w:rsid w:val="00FA6746"/>
    <w:rsid w:val="00FB05EC"/>
    <w:rsid w:val="00FB090A"/>
    <w:rsid w:val="00FB5BA0"/>
    <w:rsid w:val="00FB6E16"/>
    <w:rsid w:val="00FC0CB3"/>
    <w:rsid w:val="00FC529D"/>
    <w:rsid w:val="00FC55C0"/>
    <w:rsid w:val="00FC7D14"/>
    <w:rsid w:val="00FD16D6"/>
    <w:rsid w:val="00FD5604"/>
    <w:rsid w:val="00FD5A34"/>
    <w:rsid w:val="00FE00D6"/>
    <w:rsid w:val="00FE4AA4"/>
    <w:rsid w:val="00FF44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A0E77"/>
  <w15:chartTrackingRefBased/>
  <w15:docId w15:val="{1A8AAAD3-5C2F-436C-A9E5-64FC4D574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5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01A6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75AF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D15F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537"/>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3B44D2"/>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3B44D2"/>
    <w:rPr>
      <w:rFonts w:eastAsiaTheme="minorEastAsia"/>
      <w:kern w:val="0"/>
      <w14:ligatures w14:val="none"/>
    </w:rPr>
  </w:style>
  <w:style w:type="character" w:customStyle="1" w:styleId="Heading2Char">
    <w:name w:val="Heading 2 Char"/>
    <w:basedOn w:val="DefaultParagraphFont"/>
    <w:link w:val="Heading2"/>
    <w:uiPriority w:val="9"/>
    <w:rsid w:val="00101A6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83638"/>
    <w:pPr>
      <w:outlineLvl w:val="9"/>
    </w:pPr>
    <w:rPr>
      <w:kern w:val="0"/>
      <w14:ligatures w14:val="none"/>
    </w:rPr>
  </w:style>
  <w:style w:type="paragraph" w:styleId="TOC1">
    <w:name w:val="toc 1"/>
    <w:basedOn w:val="Normal"/>
    <w:next w:val="Normal"/>
    <w:autoRedefine/>
    <w:uiPriority w:val="39"/>
    <w:unhideWhenUsed/>
    <w:rsid w:val="00E83638"/>
    <w:pPr>
      <w:spacing w:after="100"/>
    </w:pPr>
  </w:style>
  <w:style w:type="paragraph" w:styleId="TOC2">
    <w:name w:val="toc 2"/>
    <w:basedOn w:val="Normal"/>
    <w:next w:val="Normal"/>
    <w:autoRedefine/>
    <w:uiPriority w:val="39"/>
    <w:unhideWhenUsed/>
    <w:rsid w:val="00E83638"/>
    <w:pPr>
      <w:spacing w:after="100"/>
      <w:ind w:left="220"/>
    </w:pPr>
  </w:style>
  <w:style w:type="character" w:styleId="Hyperlink">
    <w:name w:val="Hyperlink"/>
    <w:basedOn w:val="DefaultParagraphFont"/>
    <w:uiPriority w:val="99"/>
    <w:unhideWhenUsed/>
    <w:rsid w:val="00E83638"/>
    <w:rPr>
      <w:color w:val="0563C1" w:themeColor="hyperlink"/>
      <w:u w:val="single"/>
    </w:rPr>
  </w:style>
  <w:style w:type="paragraph" w:styleId="NormalWeb">
    <w:name w:val="Normal (Web)"/>
    <w:basedOn w:val="Normal"/>
    <w:uiPriority w:val="99"/>
    <w:unhideWhenUsed/>
    <w:rsid w:val="0011590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0396B"/>
    <w:rPr>
      <w:b/>
      <w:bCs/>
    </w:rPr>
  </w:style>
  <w:style w:type="character" w:customStyle="1" w:styleId="screenreader-only">
    <w:name w:val="screenreader-only"/>
    <w:basedOn w:val="DefaultParagraphFont"/>
    <w:rsid w:val="00A0396B"/>
  </w:style>
  <w:style w:type="character" w:styleId="Emphasis">
    <w:name w:val="Emphasis"/>
    <w:basedOn w:val="DefaultParagraphFont"/>
    <w:uiPriority w:val="20"/>
    <w:qFormat/>
    <w:rsid w:val="00A0396B"/>
    <w:rPr>
      <w:i/>
      <w:iCs/>
    </w:rPr>
  </w:style>
  <w:style w:type="paragraph" w:styleId="ListParagraph">
    <w:name w:val="List Paragraph"/>
    <w:basedOn w:val="Normal"/>
    <w:uiPriority w:val="34"/>
    <w:qFormat/>
    <w:rsid w:val="009E3C40"/>
    <w:pPr>
      <w:ind w:left="720"/>
      <w:contextualSpacing/>
    </w:pPr>
  </w:style>
  <w:style w:type="paragraph" w:styleId="Header">
    <w:name w:val="header"/>
    <w:basedOn w:val="Normal"/>
    <w:link w:val="HeaderChar"/>
    <w:uiPriority w:val="99"/>
    <w:unhideWhenUsed/>
    <w:rsid w:val="00B03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3E56"/>
  </w:style>
  <w:style w:type="paragraph" w:styleId="Footer">
    <w:name w:val="footer"/>
    <w:basedOn w:val="Normal"/>
    <w:link w:val="FooterChar"/>
    <w:uiPriority w:val="99"/>
    <w:unhideWhenUsed/>
    <w:rsid w:val="00B03E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3E56"/>
  </w:style>
  <w:style w:type="character" w:styleId="UnresolvedMention">
    <w:name w:val="Unresolved Mention"/>
    <w:basedOn w:val="DefaultParagraphFont"/>
    <w:uiPriority w:val="99"/>
    <w:semiHidden/>
    <w:unhideWhenUsed/>
    <w:rsid w:val="00C5352E"/>
    <w:rPr>
      <w:color w:val="605E5C"/>
      <w:shd w:val="clear" w:color="auto" w:fill="E1DFDD"/>
    </w:rPr>
  </w:style>
  <w:style w:type="character" w:customStyle="1" w:styleId="Heading3Char">
    <w:name w:val="Heading 3 Char"/>
    <w:basedOn w:val="DefaultParagraphFont"/>
    <w:link w:val="Heading3"/>
    <w:uiPriority w:val="9"/>
    <w:rsid w:val="00D75AF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2274F"/>
    <w:pPr>
      <w:spacing w:after="100"/>
      <w:ind w:left="440"/>
    </w:pPr>
  </w:style>
  <w:style w:type="table" w:styleId="TableGrid">
    <w:name w:val="Table Grid"/>
    <w:basedOn w:val="TableNormal"/>
    <w:uiPriority w:val="39"/>
    <w:rsid w:val="009656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7D15FF"/>
    <w:rPr>
      <w:rFonts w:asciiTheme="majorHAnsi" w:eastAsiaTheme="majorEastAsia" w:hAnsiTheme="majorHAnsi" w:cstheme="majorBidi"/>
      <w:i/>
      <w:iCs/>
      <w:color w:val="2F5496" w:themeColor="accent1" w:themeShade="BF"/>
    </w:rPr>
  </w:style>
  <w:style w:type="paragraph" w:styleId="BodyText">
    <w:name w:val="Body Text"/>
    <w:basedOn w:val="Normal"/>
    <w:link w:val="BodyTextChar"/>
    <w:qFormat/>
    <w:rsid w:val="002E2565"/>
    <w:pPr>
      <w:spacing w:before="180" w:after="180" w:line="240" w:lineRule="auto"/>
    </w:pPr>
    <w:rPr>
      <w:kern w:val="0"/>
      <w:sz w:val="24"/>
      <w:szCs w:val="24"/>
      <w14:ligatures w14:val="none"/>
    </w:rPr>
  </w:style>
  <w:style w:type="character" w:customStyle="1" w:styleId="BodyTextChar">
    <w:name w:val="Body Text Char"/>
    <w:basedOn w:val="DefaultParagraphFont"/>
    <w:link w:val="BodyText"/>
    <w:rsid w:val="002E2565"/>
    <w:rPr>
      <w:kern w:val="0"/>
      <w:sz w:val="24"/>
      <w:szCs w:val="24"/>
      <w14:ligatures w14:val="none"/>
    </w:rPr>
  </w:style>
  <w:style w:type="paragraph" w:customStyle="1" w:styleId="FirstParagraph">
    <w:name w:val="First Paragraph"/>
    <w:basedOn w:val="BodyText"/>
    <w:next w:val="BodyText"/>
    <w:qFormat/>
    <w:rsid w:val="002E2565"/>
  </w:style>
  <w:style w:type="character" w:customStyle="1" w:styleId="VerbatimChar">
    <w:name w:val="Verbatim Char"/>
    <w:basedOn w:val="DefaultParagraphFont"/>
    <w:link w:val="SourceCode"/>
    <w:rsid w:val="002E2565"/>
    <w:rPr>
      <w:rFonts w:ascii="Consolas" w:hAnsi="Consolas"/>
    </w:rPr>
  </w:style>
  <w:style w:type="paragraph" w:customStyle="1" w:styleId="SourceCode">
    <w:name w:val="Source Code"/>
    <w:basedOn w:val="Normal"/>
    <w:link w:val="VerbatimChar"/>
    <w:rsid w:val="002E2565"/>
    <w:pPr>
      <w:wordWrap w:val="0"/>
      <w:spacing w:after="200" w:line="240" w:lineRule="auto"/>
    </w:pPr>
    <w:rPr>
      <w:rFonts w:ascii="Consolas" w:hAnsi="Consolas"/>
    </w:rPr>
  </w:style>
  <w:style w:type="paragraph" w:customStyle="1" w:styleId="Compact">
    <w:name w:val="Compact"/>
    <w:basedOn w:val="BodyText"/>
    <w:qFormat/>
    <w:rsid w:val="002E2565"/>
    <w:pPr>
      <w:spacing w:before="36" w:after="36"/>
    </w:pPr>
  </w:style>
  <w:style w:type="table" w:customStyle="1" w:styleId="Table">
    <w:name w:val="Table"/>
    <w:semiHidden/>
    <w:unhideWhenUsed/>
    <w:qFormat/>
    <w:rsid w:val="002E2565"/>
    <w:pPr>
      <w:spacing w:after="200" w:line="240" w:lineRule="auto"/>
    </w:pPr>
    <w:rPr>
      <w:kern w:val="0"/>
      <w:sz w:val="24"/>
      <w:szCs w:val="24"/>
      <w14:ligatures w14:val="none"/>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514">
      <w:bodyDiv w:val="1"/>
      <w:marLeft w:val="0"/>
      <w:marRight w:val="0"/>
      <w:marTop w:val="0"/>
      <w:marBottom w:val="0"/>
      <w:divBdr>
        <w:top w:val="none" w:sz="0" w:space="0" w:color="auto"/>
        <w:left w:val="none" w:sz="0" w:space="0" w:color="auto"/>
        <w:bottom w:val="none" w:sz="0" w:space="0" w:color="auto"/>
        <w:right w:val="none" w:sz="0" w:space="0" w:color="auto"/>
      </w:divBdr>
    </w:div>
    <w:div w:id="13699530">
      <w:bodyDiv w:val="1"/>
      <w:marLeft w:val="0"/>
      <w:marRight w:val="0"/>
      <w:marTop w:val="0"/>
      <w:marBottom w:val="0"/>
      <w:divBdr>
        <w:top w:val="none" w:sz="0" w:space="0" w:color="auto"/>
        <w:left w:val="none" w:sz="0" w:space="0" w:color="auto"/>
        <w:bottom w:val="none" w:sz="0" w:space="0" w:color="auto"/>
        <w:right w:val="none" w:sz="0" w:space="0" w:color="auto"/>
      </w:divBdr>
    </w:div>
    <w:div w:id="99447463">
      <w:bodyDiv w:val="1"/>
      <w:marLeft w:val="0"/>
      <w:marRight w:val="0"/>
      <w:marTop w:val="0"/>
      <w:marBottom w:val="0"/>
      <w:divBdr>
        <w:top w:val="none" w:sz="0" w:space="0" w:color="auto"/>
        <w:left w:val="none" w:sz="0" w:space="0" w:color="auto"/>
        <w:bottom w:val="none" w:sz="0" w:space="0" w:color="auto"/>
        <w:right w:val="none" w:sz="0" w:space="0" w:color="auto"/>
      </w:divBdr>
    </w:div>
    <w:div w:id="139999871">
      <w:bodyDiv w:val="1"/>
      <w:marLeft w:val="0"/>
      <w:marRight w:val="0"/>
      <w:marTop w:val="0"/>
      <w:marBottom w:val="0"/>
      <w:divBdr>
        <w:top w:val="none" w:sz="0" w:space="0" w:color="auto"/>
        <w:left w:val="none" w:sz="0" w:space="0" w:color="auto"/>
        <w:bottom w:val="none" w:sz="0" w:space="0" w:color="auto"/>
        <w:right w:val="none" w:sz="0" w:space="0" w:color="auto"/>
      </w:divBdr>
    </w:div>
    <w:div w:id="162821492">
      <w:bodyDiv w:val="1"/>
      <w:marLeft w:val="0"/>
      <w:marRight w:val="0"/>
      <w:marTop w:val="0"/>
      <w:marBottom w:val="0"/>
      <w:divBdr>
        <w:top w:val="none" w:sz="0" w:space="0" w:color="auto"/>
        <w:left w:val="none" w:sz="0" w:space="0" w:color="auto"/>
        <w:bottom w:val="none" w:sz="0" w:space="0" w:color="auto"/>
        <w:right w:val="none" w:sz="0" w:space="0" w:color="auto"/>
      </w:divBdr>
    </w:div>
    <w:div w:id="190343793">
      <w:bodyDiv w:val="1"/>
      <w:marLeft w:val="0"/>
      <w:marRight w:val="0"/>
      <w:marTop w:val="0"/>
      <w:marBottom w:val="0"/>
      <w:divBdr>
        <w:top w:val="none" w:sz="0" w:space="0" w:color="auto"/>
        <w:left w:val="none" w:sz="0" w:space="0" w:color="auto"/>
        <w:bottom w:val="none" w:sz="0" w:space="0" w:color="auto"/>
        <w:right w:val="none" w:sz="0" w:space="0" w:color="auto"/>
      </w:divBdr>
    </w:div>
    <w:div w:id="197864405">
      <w:bodyDiv w:val="1"/>
      <w:marLeft w:val="0"/>
      <w:marRight w:val="0"/>
      <w:marTop w:val="0"/>
      <w:marBottom w:val="0"/>
      <w:divBdr>
        <w:top w:val="none" w:sz="0" w:space="0" w:color="auto"/>
        <w:left w:val="none" w:sz="0" w:space="0" w:color="auto"/>
        <w:bottom w:val="none" w:sz="0" w:space="0" w:color="auto"/>
        <w:right w:val="none" w:sz="0" w:space="0" w:color="auto"/>
      </w:divBdr>
    </w:div>
    <w:div w:id="225383630">
      <w:bodyDiv w:val="1"/>
      <w:marLeft w:val="0"/>
      <w:marRight w:val="0"/>
      <w:marTop w:val="0"/>
      <w:marBottom w:val="0"/>
      <w:divBdr>
        <w:top w:val="none" w:sz="0" w:space="0" w:color="auto"/>
        <w:left w:val="none" w:sz="0" w:space="0" w:color="auto"/>
        <w:bottom w:val="none" w:sz="0" w:space="0" w:color="auto"/>
        <w:right w:val="none" w:sz="0" w:space="0" w:color="auto"/>
      </w:divBdr>
    </w:div>
    <w:div w:id="244077018">
      <w:bodyDiv w:val="1"/>
      <w:marLeft w:val="0"/>
      <w:marRight w:val="0"/>
      <w:marTop w:val="0"/>
      <w:marBottom w:val="0"/>
      <w:divBdr>
        <w:top w:val="none" w:sz="0" w:space="0" w:color="auto"/>
        <w:left w:val="none" w:sz="0" w:space="0" w:color="auto"/>
        <w:bottom w:val="none" w:sz="0" w:space="0" w:color="auto"/>
        <w:right w:val="none" w:sz="0" w:space="0" w:color="auto"/>
      </w:divBdr>
    </w:div>
    <w:div w:id="309789649">
      <w:bodyDiv w:val="1"/>
      <w:marLeft w:val="0"/>
      <w:marRight w:val="0"/>
      <w:marTop w:val="0"/>
      <w:marBottom w:val="0"/>
      <w:divBdr>
        <w:top w:val="none" w:sz="0" w:space="0" w:color="auto"/>
        <w:left w:val="none" w:sz="0" w:space="0" w:color="auto"/>
        <w:bottom w:val="none" w:sz="0" w:space="0" w:color="auto"/>
        <w:right w:val="none" w:sz="0" w:space="0" w:color="auto"/>
      </w:divBdr>
    </w:div>
    <w:div w:id="316954128">
      <w:bodyDiv w:val="1"/>
      <w:marLeft w:val="0"/>
      <w:marRight w:val="0"/>
      <w:marTop w:val="0"/>
      <w:marBottom w:val="0"/>
      <w:divBdr>
        <w:top w:val="none" w:sz="0" w:space="0" w:color="auto"/>
        <w:left w:val="none" w:sz="0" w:space="0" w:color="auto"/>
        <w:bottom w:val="none" w:sz="0" w:space="0" w:color="auto"/>
        <w:right w:val="none" w:sz="0" w:space="0" w:color="auto"/>
      </w:divBdr>
    </w:div>
    <w:div w:id="396634366">
      <w:bodyDiv w:val="1"/>
      <w:marLeft w:val="0"/>
      <w:marRight w:val="0"/>
      <w:marTop w:val="0"/>
      <w:marBottom w:val="0"/>
      <w:divBdr>
        <w:top w:val="none" w:sz="0" w:space="0" w:color="auto"/>
        <w:left w:val="none" w:sz="0" w:space="0" w:color="auto"/>
        <w:bottom w:val="none" w:sz="0" w:space="0" w:color="auto"/>
        <w:right w:val="none" w:sz="0" w:space="0" w:color="auto"/>
      </w:divBdr>
    </w:div>
    <w:div w:id="414516539">
      <w:bodyDiv w:val="1"/>
      <w:marLeft w:val="0"/>
      <w:marRight w:val="0"/>
      <w:marTop w:val="0"/>
      <w:marBottom w:val="0"/>
      <w:divBdr>
        <w:top w:val="none" w:sz="0" w:space="0" w:color="auto"/>
        <w:left w:val="none" w:sz="0" w:space="0" w:color="auto"/>
        <w:bottom w:val="none" w:sz="0" w:space="0" w:color="auto"/>
        <w:right w:val="none" w:sz="0" w:space="0" w:color="auto"/>
      </w:divBdr>
    </w:div>
    <w:div w:id="465122661">
      <w:bodyDiv w:val="1"/>
      <w:marLeft w:val="0"/>
      <w:marRight w:val="0"/>
      <w:marTop w:val="0"/>
      <w:marBottom w:val="0"/>
      <w:divBdr>
        <w:top w:val="none" w:sz="0" w:space="0" w:color="auto"/>
        <w:left w:val="none" w:sz="0" w:space="0" w:color="auto"/>
        <w:bottom w:val="none" w:sz="0" w:space="0" w:color="auto"/>
        <w:right w:val="none" w:sz="0" w:space="0" w:color="auto"/>
      </w:divBdr>
      <w:divsChild>
        <w:div w:id="1031149096">
          <w:marLeft w:val="0"/>
          <w:marRight w:val="0"/>
          <w:marTop w:val="0"/>
          <w:marBottom w:val="0"/>
          <w:divBdr>
            <w:top w:val="none" w:sz="0" w:space="0" w:color="auto"/>
            <w:left w:val="none" w:sz="0" w:space="0" w:color="auto"/>
            <w:bottom w:val="none" w:sz="0" w:space="0" w:color="auto"/>
            <w:right w:val="none" w:sz="0" w:space="0" w:color="auto"/>
          </w:divBdr>
          <w:divsChild>
            <w:div w:id="569999033">
              <w:marLeft w:val="0"/>
              <w:marRight w:val="0"/>
              <w:marTop w:val="0"/>
              <w:marBottom w:val="0"/>
              <w:divBdr>
                <w:top w:val="none" w:sz="0" w:space="0" w:color="auto"/>
                <w:left w:val="none" w:sz="0" w:space="0" w:color="auto"/>
                <w:bottom w:val="none" w:sz="0" w:space="0" w:color="auto"/>
                <w:right w:val="none" w:sz="0" w:space="0" w:color="auto"/>
              </w:divBdr>
              <w:divsChild>
                <w:div w:id="2082485823">
                  <w:marLeft w:val="0"/>
                  <w:marRight w:val="0"/>
                  <w:marTop w:val="0"/>
                  <w:marBottom w:val="0"/>
                  <w:divBdr>
                    <w:top w:val="none" w:sz="0" w:space="0" w:color="auto"/>
                    <w:left w:val="none" w:sz="0" w:space="0" w:color="auto"/>
                    <w:bottom w:val="none" w:sz="0" w:space="0" w:color="auto"/>
                    <w:right w:val="none" w:sz="0" w:space="0" w:color="auto"/>
                  </w:divBdr>
                  <w:divsChild>
                    <w:div w:id="141896730">
                      <w:marLeft w:val="0"/>
                      <w:marRight w:val="0"/>
                      <w:marTop w:val="0"/>
                      <w:marBottom w:val="0"/>
                      <w:divBdr>
                        <w:top w:val="none" w:sz="0" w:space="0" w:color="auto"/>
                        <w:left w:val="none" w:sz="0" w:space="0" w:color="auto"/>
                        <w:bottom w:val="none" w:sz="0" w:space="0" w:color="auto"/>
                        <w:right w:val="none" w:sz="0" w:space="0" w:color="auto"/>
                      </w:divBdr>
                      <w:divsChild>
                        <w:div w:id="1910460432">
                          <w:marLeft w:val="0"/>
                          <w:marRight w:val="0"/>
                          <w:marTop w:val="0"/>
                          <w:marBottom w:val="0"/>
                          <w:divBdr>
                            <w:top w:val="none" w:sz="0" w:space="0" w:color="auto"/>
                            <w:left w:val="none" w:sz="0" w:space="0" w:color="auto"/>
                            <w:bottom w:val="none" w:sz="0" w:space="0" w:color="auto"/>
                            <w:right w:val="none" w:sz="0" w:space="0" w:color="auto"/>
                          </w:divBdr>
                          <w:divsChild>
                            <w:div w:id="41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043664">
      <w:bodyDiv w:val="1"/>
      <w:marLeft w:val="0"/>
      <w:marRight w:val="0"/>
      <w:marTop w:val="0"/>
      <w:marBottom w:val="0"/>
      <w:divBdr>
        <w:top w:val="none" w:sz="0" w:space="0" w:color="auto"/>
        <w:left w:val="none" w:sz="0" w:space="0" w:color="auto"/>
        <w:bottom w:val="none" w:sz="0" w:space="0" w:color="auto"/>
        <w:right w:val="none" w:sz="0" w:space="0" w:color="auto"/>
      </w:divBdr>
    </w:div>
    <w:div w:id="500856294">
      <w:bodyDiv w:val="1"/>
      <w:marLeft w:val="0"/>
      <w:marRight w:val="0"/>
      <w:marTop w:val="0"/>
      <w:marBottom w:val="0"/>
      <w:divBdr>
        <w:top w:val="none" w:sz="0" w:space="0" w:color="auto"/>
        <w:left w:val="none" w:sz="0" w:space="0" w:color="auto"/>
        <w:bottom w:val="none" w:sz="0" w:space="0" w:color="auto"/>
        <w:right w:val="none" w:sz="0" w:space="0" w:color="auto"/>
      </w:divBdr>
      <w:divsChild>
        <w:div w:id="1801456151">
          <w:marLeft w:val="0"/>
          <w:marRight w:val="0"/>
          <w:marTop w:val="0"/>
          <w:marBottom w:val="0"/>
          <w:divBdr>
            <w:top w:val="none" w:sz="0" w:space="0" w:color="auto"/>
            <w:left w:val="none" w:sz="0" w:space="0" w:color="auto"/>
            <w:bottom w:val="none" w:sz="0" w:space="0" w:color="auto"/>
            <w:right w:val="none" w:sz="0" w:space="0" w:color="auto"/>
          </w:divBdr>
          <w:divsChild>
            <w:div w:id="13700420">
              <w:marLeft w:val="0"/>
              <w:marRight w:val="0"/>
              <w:marTop w:val="0"/>
              <w:marBottom w:val="0"/>
              <w:divBdr>
                <w:top w:val="none" w:sz="0" w:space="0" w:color="auto"/>
                <w:left w:val="none" w:sz="0" w:space="0" w:color="auto"/>
                <w:bottom w:val="none" w:sz="0" w:space="0" w:color="auto"/>
                <w:right w:val="none" w:sz="0" w:space="0" w:color="auto"/>
              </w:divBdr>
              <w:divsChild>
                <w:div w:id="1412968104">
                  <w:marLeft w:val="0"/>
                  <w:marRight w:val="0"/>
                  <w:marTop w:val="0"/>
                  <w:marBottom w:val="0"/>
                  <w:divBdr>
                    <w:top w:val="none" w:sz="0" w:space="0" w:color="auto"/>
                    <w:left w:val="none" w:sz="0" w:space="0" w:color="auto"/>
                    <w:bottom w:val="none" w:sz="0" w:space="0" w:color="auto"/>
                    <w:right w:val="none" w:sz="0" w:space="0" w:color="auto"/>
                  </w:divBdr>
                  <w:divsChild>
                    <w:div w:id="1114249894">
                      <w:marLeft w:val="0"/>
                      <w:marRight w:val="0"/>
                      <w:marTop w:val="0"/>
                      <w:marBottom w:val="0"/>
                      <w:divBdr>
                        <w:top w:val="none" w:sz="0" w:space="0" w:color="auto"/>
                        <w:left w:val="none" w:sz="0" w:space="0" w:color="auto"/>
                        <w:bottom w:val="none" w:sz="0" w:space="0" w:color="auto"/>
                        <w:right w:val="none" w:sz="0" w:space="0" w:color="auto"/>
                      </w:divBdr>
                      <w:divsChild>
                        <w:div w:id="1133477822">
                          <w:marLeft w:val="0"/>
                          <w:marRight w:val="0"/>
                          <w:marTop w:val="0"/>
                          <w:marBottom w:val="0"/>
                          <w:divBdr>
                            <w:top w:val="none" w:sz="0" w:space="0" w:color="auto"/>
                            <w:left w:val="none" w:sz="0" w:space="0" w:color="auto"/>
                            <w:bottom w:val="none" w:sz="0" w:space="0" w:color="auto"/>
                            <w:right w:val="none" w:sz="0" w:space="0" w:color="auto"/>
                          </w:divBdr>
                          <w:divsChild>
                            <w:div w:id="37442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509864">
      <w:bodyDiv w:val="1"/>
      <w:marLeft w:val="0"/>
      <w:marRight w:val="0"/>
      <w:marTop w:val="0"/>
      <w:marBottom w:val="0"/>
      <w:divBdr>
        <w:top w:val="none" w:sz="0" w:space="0" w:color="auto"/>
        <w:left w:val="none" w:sz="0" w:space="0" w:color="auto"/>
        <w:bottom w:val="none" w:sz="0" w:space="0" w:color="auto"/>
        <w:right w:val="none" w:sz="0" w:space="0" w:color="auto"/>
      </w:divBdr>
    </w:div>
    <w:div w:id="569268471">
      <w:bodyDiv w:val="1"/>
      <w:marLeft w:val="0"/>
      <w:marRight w:val="0"/>
      <w:marTop w:val="0"/>
      <w:marBottom w:val="0"/>
      <w:divBdr>
        <w:top w:val="none" w:sz="0" w:space="0" w:color="auto"/>
        <w:left w:val="none" w:sz="0" w:space="0" w:color="auto"/>
        <w:bottom w:val="none" w:sz="0" w:space="0" w:color="auto"/>
        <w:right w:val="none" w:sz="0" w:space="0" w:color="auto"/>
      </w:divBdr>
    </w:div>
    <w:div w:id="615791765">
      <w:bodyDiv w:val="1"/>
      <w:marLeft w:val="0"/>
      <w:marRight w:val="0"/>
      <w:marTop w:val="0"/>
      <w:marBottom w:val="0"/>
      <w:divBdr>
        <w:top w:val="none" w:sz="0" w:space="0" w:color="auto"/>
        <w:left w:val="none" w:sz="0" w:space="0" w:color="auto"/>
        <w:bottom w:val="none" w:sz="0" w:space="0" w:color="auto"/>
        <w:right w:val="none" w:sz="0" w:space="0" w:color="auto"/>
      </w:divBdr>
    </w:div>
    <w:div w:id="648703828">
      <w:bodyDiv w:val="1"/>
      <w:marLeft w:val="0"/>
      <w:marRight w:val="0"/>
      <w:marTop w:val="0"/>
      <w:marBottom w:val="0"/>
      <w:divBdr>
        <w:top w:val="none" w:sz="0" w:space="0" w:color="auto"/>
        <w:left w:val="none" w:sz="0" w:space="0" w:color="auto"/>
        <w:bottom w:val="none" w:sz="0" w:space="0" w:color="auto"/>
        <w:right w:val="none" w:sz="0" w:space="0" w:color="auto"/>
      </w:divBdr>
    </w:div>
    <w:div w:id="663321890">
      <w:bodyDiv w:val="1"/>
      <w:marLeft w:val="0"/>
      <w:marRight w:val="0"/>
      <w:marTop w:val="0"/>
      <w:marBottom w:val="0"/>
      <w:divBdr>
        <w:top w:val="none" w:sz="0" w:space="0" w:color="auto"/>
        <w:left w:val="none" w:sz="0" w:space="0" w:color="auto"/>
        <w:bottom w:val="none" w:sz="0" w:space="0" w:color="auto"/>
        <w:right w:val="none" w:sz="0" w:space="0" w:color="auto"/>
      </w:divBdr>
    </w:div>
    <w:div w:id="767233821">
      <w:bodyDiv w:val="1"/>
      <w:marLeft w:val="0"/>
      <w:marRight w:val="0"/>
      <w:marTop w:val="0"/>
      <w:marBottom w:val="0"/>
      <w:divBdr>
        <w:top w:val="none" w:sz="0" w:space="0" w:color="auto"/>
        <w:left w:val="none" w:sz="0" w:space="0" w:color="auto"/>
        <w:bottom w:val="none" w:sz="0" w:space="0" w:color="auto"/>
        <w:right w:val="none" w:sz="0" w:space="0" w:color="auto"/>
      </w:divBdr>
    </w:div>
    <w:div w:id="785925283">
      <w:bodyDiv w:val="1"/>
      <w:marLeft w:val="0"/>
      <w:marRight w:val="0"/>
      <w:marTop w:val="0"/>
      <w:marBottom w:val="0"/>
      <w:divBdr>
        <w:top w:val="none" w:sz="0" w:space="0" w:color="auto"/>
        <w:left w:val="none" w:sz="0" w:space="0" w:color="auto"/>
        <w:bottom w:val="none" w:sz="0" w:space="0" w:color="auto"/>
        <w:right w:val="none" w:sz="0" w:space="0" w:color="auto"/>
      </w:divBdr>
    </w:div>
    <w:div w:id="859591811">
      <w:bodyDiv w:val="1"/>
      <w:marLeft w:val="0"/>
      <w:marRight w:val="0"/>
      <w:marTop w:val="0"/>
      <w:marBottom w:val="0"/>
      <w:divBdr>
        <w:top w:val="none" w:sz="0" w:space="0" w:color="auto"/>
        <w:left w:val="none" w:sz="0" w:space="0" w:color="auto"/>
        <w:bottom w:val="none" w:sz="0" w:space="0" w:color="auto"/>
        <w:right w:val="none" w:sz="0" w:space="0" w:color="auto"/>
      </w:divBdr>
    </w:div>
    <w:div w:id="913703527">
      <w:bodyDiv w:val="1"/>
      <w:marLeft w:val="0"/>
      <w:marRight w:val="0"/>
      <w:marTop w:val="0"/>
      <w:marBottom w:val="0"/>
      <w:divBdr>
        <w:top w:val="none" w:sz="0" w:space="0" w:color="auto"/>
        <w:left w:val="none" w:sz="0" w:space="0" w:color="auto"/>
        <w:bottom w:val="none" w:sz="0" w:space="0" w:color="auto"/>
        <w:right w:val="none" w:sz="0" w:space="0" w:color="auto"/>
      </w:divBdr>
    </w:div>
    <w:div w:id="933822577">
      <w:bodyDiv w:val="1"/>
      <w:marLeft w:val="0"/>
      <w:marRight w:val="0"/>
      <w:marTop w:val="0"/>
      <w:marBottom w:val="0"/>
      <w:divBdr>
        <w:top w:val="none" w:sz="0" w:space="0" w:color="auto"/>
        <w:left w:val="none" w:sz="0" w:space="0" w:color="auto"/>
        <w:bottom w:val="none" w:sz="0" w:space="0" w:color="auto"/>
        <w:right w:val="none" w:sz="0" w:space="0" w:color="auto"/>
      </w:divBdr>
    </w:div>
    <w:div w:id="971400087">
      <w:bodyDiv w:val="1"/>
      <w:marLeft w:val="0"/>
      <w:marRight w:val="0"/>
      <w:marTop w:val="0"/>
      <w:marBottom w:val="0"/>
      <w:divBdr>
        <w:top w:val="none" w:sz="0" w:space="0" w:color="auto"/>
        <w:left w:val="none" w:sz="0" w:space="0" w:color="auto"/>
        <w:bottom w:val="none" w:sz="0" w:space="0" w:color="auto"/>
        <w:right w:val="none" w:sz="0" w:space="0" w:color="auto"/>
      </w:divBdr>
    </w:div>
    <w:div w:id="983579915">
      <w:bodyDiv w:val="1"/>
      <w:marLeft w:val="0"/>
      <w:marRight w:val="0"/>
      <w:marTop w:val="0"/>
      <w:marBottom w:val="0"/>
      <w:divBdr>
        <w:top w:val="none" w:sz="0" w:space="0" w:color="auto"/>
        <w:left w:val="none" w:sz="0" w:space="0" w:color="auto"/>
        <w:bottom w:val="none" w:sz="0" w:space="0" w:color="auto"/>
        <w:right w:val="none" w:sz="0" w:space="0" w:color="auto"/>
      </w:divBdr>
    </w:div>
    <w:div w:id="994258332">
      <w:bodyDiv w:val="1"/>
      <w:marLeft w:val="0"/>
      <w:marRight w:val="0"/>
      <w:marTop w:val="0"/>
      <w:marBottom w:val="0"/>
      <w:divBdr>
        <w:top w:val="none" w:sz="0" w:space="0" w:color="auto"/>
        <w:left w:val="none" w:sz="0" w:space="0" w:color="auto"/>
        <w:bottom w:val="none" w:sz="0" w:space="0" w:color="auto"/>
        <w:right w:val="none" w:sz="0" w:space="0" w:color="auto"/>
      </w:divBdr>
    </w:div>
    <w:div w:id="1017779587">
      <w:bodyDiv w:val="1"/>
      <w:marLeft w:val="0"/>
      <w:marRight w:val="0"/>
      <w:marTop w:val="0"/>
      <w:marBottom w:val="0"/>
      <w:divBdr>
        <w:top w:val="none" w:sz="0" w:space="0" w:color="auto"/>
        <w:left w:val="none" w:sz="0" w:space="0" w:color="auto"/>
        <w:bottom w:val="none" w:sz="0" w:space="0" w:color="auto"/>
        <w:right w:val="none" w:sz="0" w:space="0" w:color="auto"/>
      </w:divBdr>
    </w:div>
    <w:div w:id="1072115883">
      <w:bodyDiv w:val="1"/>
      <w:marLeft w:val="0"/>
      <w:marRight w:val="0"/>
      <w:marTop w:val="0"/>
      <w:marBottom w:val="0"/>
      <w:divBdr>
        <w:top w:val="none" w:sz="0" w:space="0" w:color="auto"/>
        <w:left w:val="none" w:sz="0" w:space="0" w:color="auto"/>
        <w:bottom w:val="none" w:sz="0" w:space="0" w:color="auto"/>
        <w:right w:val="none" w:sz="0" w:space="0" w:color="auto"/>
      </w:divBdr>
    </w:div>
    <w:div w:id="1081833990">
      <w:bodyDiv w:val="1"/>
      <w:marLeft w:val="0"/>
      <w:marRight w:val="0"/>
      <w:marTop w:val="0"/>
      <w:marBottom w:val="0"/>
      <w:divBdr>
        <w:top w:val="none" w:sz="0" w:space="0" w:color="auto"/>
        <w:left w:val="none" w:sz="0" w:space="0" w:color="auto"/>
        <w:bottom w:val="none" w:sz="0" w:space="0" w:color="auto"/>
        <w:right w:val="none" w:sz="0" w:space="0" w:color="auto"/>
      </w:divBdr>
    </w:div>
    <w:div w:id="1090389743">
      <w:bodyDiv w:val="1"/>
      <w:marLeft w:val="0"/>
      <w:marRight w:val="0"/>
      <w:marTop w:val="0"/>
      <w:marBottom w:val="0"/>
      <w:divBdr>
        <w:top w:val="none" w:sz="0" w:space="0" w:color="auto"/>
        <w:left w:val="none" w:sz="0" w:space="0" w:color="auto"/>
        <w:bottom w:val="none" w:sz="0" w:space="0" w:color="auto"/>
        <w:right w:val="none" w:sz="0" w:space="0" w:color="auto"/>
      </w:divBdr>
    </w:div>
    <w:div w:id="1167281364">
      <w:bodyDiv w:val="1"/>
      <w:marLeft w:val="0"/>
      <w:marRight w:val="0"/>
      <w:marTop w:val="0"/>
      <w:marBottom w:val="0"/>
      <w:divBdr>
        <w:top w:val="none" w:sz="0" w:space="0" w:color="auto"/>
        <w:left w:val="none" w:sz="0" w:space="0" w:color="auto"/>
        <w:bottom w:val="none" w:sz="0" w:space="0" w:color="auto"/>
        <w:right w:val="none" w:sz="0" w:space="0" w:color="auto"/>
      </w:divBdr>
      <w:divsChild>
        <w:div w:id="358971045">
          <w:marLeft w:val="-720"/>
          <w:marRight w:val="0"/>
          <w:marTop w:val="0"/>
          <w:marBottom w:val="0"/>
          <w:divBdr>
            <w:top w:val="none" w:sz="0" w:space="0" w:color="auto"/>
            <w:left w:val="none" w:sz="0" w:space="0" w:color="auto"/>
            <w:bottom w:val="none" w:sz="0" w:space="0" w:color="auto"/>
            <w:right w:val="none" w:sz="0" w:space="0" w:color="auto"/>
          </w:divBdr>
        </w:div>
      </w:divsChild>
    </w:div>
    <w:div w:id="1226258948">
      <w:bodyDiv w:val="1"/>
      <w:marLeft w:val="0"/>
      <w:marRight w:val="0"/>
      <w:marTop w:val="0"/>
      <w:marBottom w:val="0"/>
      <w:divBdr>
        <w:top w:val="none" w:sz="0" w:space="0" w:color="auto"/>
        <w:left w:val="none" w:sz="0" w:space="0" w:color="auto"/>
        <w:bottom w:val="none" w:sz="0" w:space="0" w:color="auto"/>
        <w:right w:val="none" w:sz="0" w:space="0" w:color="auto"/>
      </w:divBdr>
    </w:div>
    <w:div w:id="1229343934">
      <w:bodyDiv w:val="1"/>
      <w:marLeft w:val="0"/>
      <w:marRight w:val="0"/>
      <w:marTop w:val="0"/>
      <w:marBottom w:val="0"/>
      <w:divBdr>
        <w:top w:val="none" w:sz="0" w:space="0" w:color="auto"/>
        <w:left w:val="none" w:sz="0" w:space="0" w:color="auto"/>
        <w:bottom w:val="none" w:sz="0" w:space="0" w:color="auto"/>
        <w:right w:val="none" w:sz="0" w:space="0" w:color="auto"/>
      </w:divBdr>
      <w:divsChild>
        <w:div w:id="598172541">
          <w:marLeft w:val="0"/>
          <w:marRight w:val="0"/>
          <w:marTop w:val="0"/>
          <w:marBottom w:val="0"/>
          <w:divBdr>
            <w:top w:val="none" w:sz="0" w:space="0" w:color="auto"/>
            <w:left w:val="none" w:sz="0" w:space="0" w:color="auto"/>
            <w:bottom w:val="none" w:sz="0" w:space="0" w:color="auto"/>
            <w:right w:val="none" w:sz="0" w:space="0" w:color="auto"/>
          </w:divBdr>
          <w:divsChild>
            <w:div w:id="16954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4350">
      <w:bodyDiv w:val="1"/>
      <w:marLeft w:val="0"/>
      <w:marRight w:val="0"/>
      <w:marTop w:val="0"/>
      <w:marBottom w:val="0"/>
      <w:divBdr>
        <w:top w:val="none" w:sz="0" w:space="0" w:color="auto"/>
        <w:left w:val="none" w:sz="0" w:space="0" w:color="auto"/>
        <w:bottom w:val="none" w:sz="0" w:space="0" w:color="auto"/>
        <w:right w:val="none" w:sz="0" w:space="0" w:color="auto"/>
      </w:divBdr>
      <w:divsChild>
        <w:div w:id="1034308752">
          <w:marLeft w:val="0"/>
          <w:marRight w:val="0"/>
          <w:marTop w:val="0"/>
          <w:marBottom w:val="0"/>
          <w:divBdr>
            <w:top w:val="none" w:sz="0" w:space="0" w:color="auto"/>
            <w:left w:val="none" w:sz="0" w:space="0" w:color="auto"/>
            <w:bottom w:val="none" w:sz="0" w:space="0" w:color="auto"/>
            <w:right w:val="none" w:sz="0" w:space="0" w:color="auto"/>
          </w:divBdr>
          <w:divsChild>
            <w:div w:id="1511213730">
              <w:marLeft w:val="0"/>
              <w:marRight w:val="0"/>
              <w:marTop w:val="0"/>
              <w:marBottom w:val="0"/>
              <w:divBdr>
                <w:top w:val="none" w:sz="0" w:space="0" w:color="auto"/>
                <w:left w:val="none" w:sz="0" w:space="0" w:color="auto"/>
                <w:bottom w:val="none" w:sz="0" w:space="0" w:color="auto"/>
                <w:right w:val="none" w:sz="0" w:space="0" w:color="auto"/>
              </w:divBdr>
              <w:divsChild>
                <w:div w:id="1472753227">
                  <w:marLeft w:val="0"/>
                  <w:marRight w:val="0"/>
                  <w:marTop w:val="0"/>
                  <w:marBottom w:val="0"/>
                  <w:divBdr>
                    <w:top w:val="none" w:sz="0" w:space="0" w:color="auto"/>
                    <w:left w:val="none" w:sz="0" w:space="0" w:color="auto"/>
                    <w:bottom w:val="none" w:sz="0" w:space="0" w:color="auto"/>
                    <w:right w:val="none" w:sz="0" w:space="0" w:color="auto"/>
                  </w:divBdr>
                  <w:divsChild>
                    <w:div w:id="194779243">
                      <w:marLeft w:val="0"/>
                      <w:marRight w:val="0"/>
                      <w:marTop w:val="0"/>
                      <w:marBottom w:val="0"/>
                      <w:divBdr>
                        <w:top w:val="none" w:sz="0" w:space="0" w:color="auto"/>
                        <w:left w:val="none" w:sz="0" w:space="0" w:color="auto"/>
                        <w:bottom w:val="none" w:sz="0" w:space="0" w:color="auto"/>
                        <w:right w:val="none" w:sz="0" w:space="0" w:color="auto"/>
                      </w:divBdr>
                      <w:divsChild>
                        <w:div w:id="43405618">
                          <w:marLeft w:val="0"/>
                          <w:marRight w:val="0"/>
                          <w:marTop w:val="0"/>
                          <w:marBottom w:val="0"/>
                          <w:divBdr>
                            <w:top w:val="none" w:sz="0" w:space="0" w:color="auto"/>
                            <w:left w:val="none" w:sz="0" w:space="0" w:color="auto"/>
                            <w:bottom w:val="none" w:sz="0" w:space="0" w:color="auto"/>
                            <w:right w:val="none" w:sz="0" w:space="0" w:color="auto"/>
                          </w:divBdr>
                          <w:divsChild>
                            <w:div w:id="30350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5913082">
      <w:bodyDiv w:val="1"/>
      <w:marLeft w:val="0"/>
      <w:marRight w:val="0"/>
      <w:marTop w:val="0"/>
      <w:marBottom w:val="0"/>
      <w:divBdr>
        <w:top w:val="none" w:sz="0" w:space="0" w:color="auto"/>
        <w:left w:val="none" w:sz="0" w:space="0" w:color="auto"/>
        <w:bottom w:val="none" w:sz="0" w:space="0" w:color="auto"/>
        <w:right w:val="none" w:sz="0" w:space="0" w:color="auto"/>
      </w:divBdr>
    </w:div>
    <w:div w:id="1333796874">
      <w:bodyDiv w:val="1"/>
      <w:marLeft w:val="0"/>
      <w:marRight w:val="0"/>
      <w:marTop w:val="0"/>
      <w:marBottom w:val="0"/>
      <w:divBdr>
        <w:top w:val="none" w:sz="0" w:space="0" w:color="auto"/>
        <w:left w:val="none" w:sz="0" w:space="0" w:color="auto"/>
        <w:bottom w:val="none" w:sz="0" w:space="0" w:color="auto"/>
        <w:right w:val="none" w:sz="0" w:space="0" w:color="auto"/>
      </w:divBdr>
    </w:div>
    <w:div w:id="1399092295">
      <w:bodyDiv w:val="1"/>
      <w:marLeft w:val="0"/>
      <w:marRight w:val="0"/>
      <w:marTop w:val="0"/>
      <w:marBottom w:val="0"/>
      <w:divBdr>
        <w:top w:val="none" w:sz="0" w:space="0" w:color="auto"/>
        <w:left w:val="none" w:sz="0" w:space="0" w:color="auto"/>
        <w:bottom w:val="none" w:sz="0" w:space="0" w:color="auto"/>
        <w:right w:val="none" w:sz="0" w:space="0" w:color="auto"/>
      </w:divBdr>
    </w:div>
    <w:div w:id="1437554619">
      <w:bodyDiv w:val="1"/>
      <w:marLeft w:val="0"/>
      <w:marRight w:val="0"/>
      <w:marTop w:val="0"/>
      <w:marBottom w:val="0"/>
      <w:divBdr>
        <w:top w:val="none" w:sz="0" w:space="0" w:color="auto"/>
        <w:left w:val="none" w:sz="0" w:space="0" w:color="auto"/>
        <w:bottom w:val="none" w:sz="0" w:space="0" w:color="auto"/>
        <w:right w:val="none" w:sz="0" w:space="0" w:color="auto"/>
      </w:divBdr>
      <w:divsChild>
        <w:div w:id="1942563451">
          <w:marLeft w:val="0"/>
          <w:marRight w:val="0"/>
          <w:marTop w:val="0"/>
          <w:marBottom w:val="0"/>
          <w:divBdr>
            <w:top w:val="none" w:sz="0" w:space="0" w:color="auto"/>
            <w:left w:val="none" w:sz="0" w:space="0" w:color="auto"/>
            <w:bottom w:val="none" w:sz="0" w:space="0" w:color="auto"/>
            <w:right w:val="none" w:sz="0" w:space="0" w:color="auto"/>
          </w:divBdr>
          <w:divsChild>
            <w:div w:id="198924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7742">
      <w:bodyDiv w:val="1"/>
      <w:marLeft w:val="0"/>
      <w:marRight w:val="0"/>
      <w:marTop w:val="0"/>
      <w:marBottom w:val="0"/>
      <w:divBdr>
        <w:top w:val="none" w:sz="0" w:space="0" w:color="auto"/>
        <w:left w:val="none" w:sz="0" w:space="0" w:color="auto"/>
        <w:bottom w:val="none" w:sz="0" w:space="0" w:color="auto"/>
        <w:right w:val="none" w:sz="0" w:space="0" w:color="auto"/>
      </w:divBdr>
    </w:div>
    <w:div w:id="1530921138">
      <w:bodyDiv w:val="1"/>
      <w:marLeft w:val="0"/>
      <w:marRight w:val="0"/>
      <w:marTop w:val="0"/>
      <w:marBottom w:val="0"/>
      <w:divBdr>
        <w:top w:val="none" w:sz="0" w:space="0" w:color="auto"/>
        <w:left w:val="none" w:sz="0" w:space="0" w:color="auto"/>
        <w:bottom w:val="none" w:sz="0" w:space="0" w:color="auto"/>
        <w:right w:val="none" w:sz="0" w:space="0" w:color="auto"/>
      </w:divBdr>
    </w:div>
    <w:div w:id="1566839218">
      <w:bodyDiv w:val="1"/>
      <w:marLeft w:val="0"/>
      <w:marRight w:val="0"/>
      <w:marTop w:val="0"/>
      <w:marBottom w:val="0"/>
      <w:divBdr>
        <w:top w:val="none" w:sz="0" w:space="0" w:color="auto"/>
        <w:left w:val="none" w:sz="0" w:space="0" w:color="auto"/>
        <w:bottom w:val="none" w:sz="0" w:space="0" w:color="auto"/>
        <w:right w:val="none" w:sz="0" w:space="0" w:color="auto"/>
      </w:divBdr>
    </w:div>
    <w:div w:id="1629124461">
      <w:bodyDiv w:val="1"/>
      <w:marLeft w:val="0"/>
      <w:marRight w:val="0"/>
      <w:marTop w:val="0"/>
      <w:marBottom w:val="0"/>
      <w:divBdr>
        <w:top w:val="none" w:sz="0" w:space="0" w:color="auto"/>
        <w:left w:val="none" w:sz="0" w:space="0" w:color="auto"/>
        <w:bottom w:val="none" w:sz="0" w:space="0" w:color="auto"/>
        <w:right w:val="none" w:sz="0" w:space="0" w:color="auto"/>
      </w:divBdr>
      <w:divsChild>
        <w:div w:id="947002502">
          <w:marLeft w:val="-720"/>
          <w:marRight w:val="0"/>
          <w:marTop w:val="0"/>
          <w:marBottom w:val="0"/>
          <w:divBdr>
            <w:top w:val="none" w:sz="0" w:space="0" w:color="auto"/>
            <w:left w:val="none" w:sz="0" w:space="0" w:color="auto"/>
            <w:bottom w:val="none" w:sz="0" w:space="0" w:color="auto"/>
            <w:right w:val="none" w:sz="0" w:space="0" w:color="auto"/>
          </w:divBdr>
        </w:div>
      </w:divsChild>
    </w:div>
    <w:div w:id="1641764105">
      <w:bodyDiv w:val="1"/>
      <w:marLeft w:val="0"/>
      <w:marRight w:val="0"/>
      <w:marTop w:val="0"/>
      <w:marBottom w:val="0"/>
      <w:divBdr>
        <w:top w:val="none" w:sz="0" w:space="0" w:color="auto"/>
        <w:left w:val="none" w:sz="0" w:space="0" w:color="auto"/>
        <w:bottom w:val="none" w:sz="0" w:space="0" w:color="auto"/>
        <w:right w:val="none" w:sz="0" w:space="0" w:color="auto"/>
      </w:divBdr>
    </w:div>
    <w:div w:id="1648363297">
      <w:bodyDiv w:val="1"/>
      <w:marLeft w:val="0"/>
      <w:marRight w:val="0"/>
      <w:marTop w:val="0"/>
      <w:marBottom w:val="0"/>
      <w:divBdr>
        <w:top w:val="none" w:sz="0" w:space="0" w:color="auto"/>
        <w:left w:val="none" w:sz="0" w:space="0" w:color="auto"/>
        <w:bottom w:val="none" w:sz="0" w:space="0" w:color="auto"/>
        <w:right w:val="none" w:sz="0" w:space="0" w:color="auto"/>
      </w:divBdr>
    </w:div>
    <w:div w:id="1679384190">
      <w:bodyDiv w:val="1"/>
      <w:marLeft w:val="0"/>
      <w:marRight w:val="0"/>
      <w:marTop w:val="0"/>
      <w:marBottom w:val="0"/>
      <w:divBdr>
        <w:top w:val="none" w:sz="0" w:space="0" w:color="auto"/>
        <w:left w:val="none" w:sz="0" w:space="0" w:color="auto"/>
        <w:bottom w:val="none" w:sz="0" w:space="0" w:color="auto"/>
        <w:right w:val="none" w:sz="0" w:space="0" w:color="auto"/>
      </w:divBdr>
    </w:div>
    <w:div w:id="1715157581">
      <w:bodyDiv w:val="1"/>
      <w:marLeft w:val="0"/>
      <w:marRight w:val="0"/>
      <w:marTop w:val="0"/>
      <w:marBottom w:val="0"/>
      <w:divBdr>
        <w:top w:val="none" w:sz="0" w:space="0" w:color="auto"/>
        <w:left w:val="none" w:sz="0" w:space="0" w:color="auto"/>
        <w:bottom w:val="none" w:sz="0" w:space="0" w:color="auto"/>
        <w:right w:val="none" w:sz="0" w:space="0" w:color="auto"/>
      </w:divBdr>
    </w:div>
    <w:div w:id="1836649782">
      <w:bodyDiv w:val="1"/>
      <w:marLeft w:val="0"/>
      <w:marRight w:val="0"/>
      <w:marTop w:val="0"/>
      <w:marBottom w:val="0"/>
      <w:divBdr>
        <w:top w:val="none" w:sz="0" w:space="0" w:color="auto"/>
        <w:left w:val="none" w:sz="0" w:space="0" w:color="auto"/>
        <w:bottom w:val="none" w:sz="0" w:space="0" w:color="auto"/>
        <w:right w:val="none" w:sz="0" w:space="0" w:color="auto"/>
      </w:divBdr>
    </w:div>
    <w:div w:id="1947542370">
      <w:bodyDiv w:val="1"/>
      <w:marLeft w:val="0"/>
      <w:marRight w:val="0"/>
      <w:marTop w:val="0"/>
      <w:marBottom w:val="0"/>
      <w:divBdr>
        <w:top w:val="none" w:sz="0" w:space="0" w:color="auto"/>
        <w:left w:val="none" w:sz="0" w:space="0" w:color="auto"/>
        <w:bottom w:val="none" w:sz="0" w:space="0" w:color="auto"/>
        <w:right w:val="none" w:sz="0" w:space="0" w:color="auto"/>
      </w:divBdr>
    </w:div>
    <w:div w:id="1983267533">
      <w:bodyDiv w:val="1"/>
      <w:marLeft w:val="0"/>
      <w:marRight w:val="0"/>
      <w:marTop w:val="0"/>
      <w:marBottom w:val="0"/>
      <w:divBdr>
        <w:top w:val="none" w:sz="0" w:space="0" w:color="auto"/>
        <w:left w:val="none" w:sz="0" w:space="0" w:color="auto"/>
        <w:bottom w:val="none" w:sz="0" w:space="0" w:color="auto"/>
        <w:right w:val="none" w:sz="0" w:space="0" w:color="auto"/>
      </w:divBdr>
    </w:div>
    <w:div w:id="2005431766">
      <w:bodyDiv w:val="1"/>
      <w:marLeft w:val="0"/>
      <w:marRight w:val="0"/>
      <w:marTop w:val="0"/>
      <w:marBottom w:val="0"/>
      <w:divBdr>
        <w:top w:val="none" w:sz="0" w:space="0" w:color="auto"/>
        <w:left w:val="none" w:sz="0" w:space="0" w:color="auto"/>
        <w:bottom w:val="none" w:sz="0" w:space="0" w:color="auto"/>
        <w:right w:val="none" w:sz="0" w:space="0" w:color="auto"/>
      </w:divBdr>
    </w:div>
    <w:div w:id="2024354119">
      <w:bodyDiv w:val="1"/>
      <w:marLeft w:val="0"/>
      <w:marRight w:val="0"/>
      <w:marTop w:val="0"/>
      <w:marBottom w:val="0"/>
      <w:divBdr>
        <w:top w:val="none" w:sz="0" w:space="0" w:color="auto"/>
        <w:left w:val="none" w:sz="0" w:space="0" w:color="auto"/>
        <w:bottom w:val="none" w:sz="0" w:space="0" w:color="auto"/>
        <w:right w:val="none" w:sz="0" w:space="0" w:color="auto"/>
      </w:divBdr>
    </w:div>
    <w:div w:id="2057193781">
      <w:bodyDiv w:val="1"/>
      <w:marLeft w:val="0"/>
      <w:marRight w:val="0"/>
      <w:marTop w:val="0"/>
      <w:marBottom w:val="0"/>
      <w:divBdr>
        <w:top w:val="none" w:sz="0" w:space="0" w:color="auto"/>
        <w:left w:val="none" w:sz="0" w:space="0" w:color="auto"/>
        <w:bottom w:val="none" w:sz="0" w:space="0" w:color="auto"/>
        <w:right w:val="none" w:sz="0" w:space="0" w:color="auto"/>
      </w:divBdr>
    </w:div>
    <w:div w:id="2085835517">
      <w:bodyDiv w:val="1"/>
      <w:marLeft w:val="0"/>
      <w:marRight w:val="0"/>
      <w:marTop w:val="0"/>
      <w:marBottom w:val="0"/>
      <w:divBdr>
        <w:top w:val="none" w:sz="0" w:space="0" w:color="auto"/>
        <w:left w:val="none" w:sz="0" w:space="0" w:color="auto"/>
        <w:bottom w:val="none" w:sz="0" w:space="0" w:color="auto"/>
        <w:right w:val="none" w:sz="0" w:space="0" w:color="auto"/>
      </w:divBdr>
      <w:divsChild>
        <w:div w:id="1711416606">
          <w:marLeft w:val="0"/>
          <w:marRight w:val="0"/>
          <w:marTop w:val="0"/>
          <w:marBottom w:val="0"/>
          <w:divBdr>
            <w:top w:val="none" w:sz="0" w:space="0" w:color="auto"/>
            <w:left w:val="none" w:sz="0" w:space="0" w:color="auto"/>
            <w:bottom w:val="none" w:sz="0" w:space="0" w:color="auto"/>
            <w:right w:val="none" w:sz="0" w:space="0" w:color="auto"/>
          </w:divBdr>
          <w:divsChild>
            <w:div w:id="1976450118">
              <w:marLeft w:val="0"/>
              <w:marRight w:val="0"/>
              <w:marTop w:val="0"/>
              <w:marBottom w:val="0"/>
              <w:divBdr>
                <w:top w:val="none" w:sz="0" w:space="0" w:color="auto"/>
                <w:left w:val="none" w:sz="0" w:space="0" w:color="auto"/>
                <w:bottom w:val="none" w:sz="0" w:space="0" w:color="auto"/>
                <w:right w:val="none" w:sz="0" w:space="0" w:color="auto"/>
              </w:divBdr>
              <w:divsChild>
                <w:div w:id="1955749277">
                  <w:marLeft w:val="0"/>
                  <w:marRight w:val="0"/>
                  <w:marTop w:val="0"/>
                  <w:marBottom w:val="0"/>
                  <w:divBdr>
                    <w:top w:val="none" w:sz="0" w:space="0" w:color="auto"/>
                    <w:left w:val="none" w:sz="0" w:space="0" w:color="auto"/>
                    <w:bottom w:val="none" w:sz="0" w:space="0" w:color="auto"/>
                    <w:right w:val="none" w:sz="0" w:space="0" w:color="auto"/>
                  </w:divBdr>
                  <w:divsChild>
                    <w:div w:id="1636059918">
                      <w:marLeft w:val="0"/>
                      <w:marRight w:val="0"/>
                      <w:marTop w:val="0"/>
                      <w:marBottom w:val="0"/>
                      <w:divBdr>
                        <w:top w:val="none" w:sz="0" w:space="0" w:color="auto"/>
                        <w:left w:val="none" w:sz="0" w:space="0" w:color="auto"/>
                        <w:bottom w:val="none" w:sz="0" w:space="0" w:color="auto"/>
                        <w:right w:val="none" w:sz="0" w:space="0" w:color="auto"/>
                      </w:divBdr>
                      <w:divsChild>
                        <w:div w:id="1273781994">
                          <w:marLeft w:val="0"/>
                          <w:marRight w:val="0"/>
                          <w:marTop w:val="0"/>
                          <w:marBottom w:val="0"/>
                          <w:divBdr>
                            <w:top w:val="none" w:sz="0" w:space="0" w:color="auto"/>
                            <w:left w:val="none" w:sz="0" w:space="0" w:color="auto"/>
                            <w:bottom w:val="none" w:sz="0" w:space="0" w:color="auto"/>
                            <w:right w:val="none" w:sz="0" w:space="0" w:color="auto"/>
                          </w:divBdr>
                          <w:divsChild>
                            <w:div w:id="735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068975">
      <w:bodyDiv w:val="1"/>
      <w:marLeft w:val="0"/>
      <w:marRight w:val="0"/>
      <w:marTop w:val="0"/>
      <w:marBottom w:val="0"/>
      <w:divBdr>
        <w:top w:val="none" w:sz="0" w:space="0" w:color="auto"/>
        <w:left w:val="none" w:sz="0" w:space="0" w:color="auto"/>
        <w:bottom w:val="none" w:sz="0" w:space="0" w:color="auto"/>
        <w:right w:val="none" w:sz="0" w:space="0" w:color="auto"/>
      </w:divBdr>
    </w:div>
    <w:div w:id="2117820601">
      <w:bodyDiv w:val="1"/>
      <w:marLeft w:val="0"/>
      <w:marRight w:val="0"/>
      <w:marTop w:val="0"/>
      <w:marBottom w:val="0"/>
      <w:divBdr>
        <w:top w:val="none" w:sz="0" w:space="0" w:color="auto"/>
        <w:left w:val="none" w:sz="0" w:space="0" w:color="auto"/>
        <w:bottom w:val="none" w:sz="0" w:space="0" w:color="auto"/>
        <w:right w:val="none" w:sz="0" w:space="0" w:color="auto"/>
      </w:divBdr>
    </w:div>
    <w:div w:id="2119596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8653/v1/N19-1423" TargetMode="External"/><Relationship Id="rId18" Type="http://schemas.openxmlformats.org/officeDocument/2006/relationships/hyperlink" Target="https://doi.org/10.1145/3531146.3533231" TargetMode="External"/><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yperlink" Target="https://arxiv.org/abs/2004.05150" TargetMode="External"/><Relationship Id="rId17" Type="http://schemas.openxmlformats.org/officeDocument/2006/relationships/hyperlink" Target="https://doi.org/10.18653/v1/N18-1100" TargetMode="Externa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hyperlink" Target="https://doi.org/10.1145/3287560.3287596" TargetMode="External"/><Relationship Id="rId20" Type="http://schemas.openxmlformats.org/officeDocument/2006/relationships/image" Target="media/image4.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18653/v1/W19-1909" TargetMode="Externa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doi.org/10.13026/1n74-ne17"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doi.org/10.1038/s41597-022-01899-x"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CF0E789F3C4435BA0046ACF89AA1952"/>
        <w:category>
          <w:name w:val="General"/>
          <w:gallery w:val="placeholder"/>
        </w:category>
        <w:types>
          <w:type w:val="bbPlcHdr"/>
        </w:types>
        <w:behaviors>
          <w:behavior w:val="content"/>
        </w:behaviors>
        <w:guid w:val="{757DB6DB-3F11-4422-98E2-F55EA4760DA9}"/>
      </w:docPartPr>
      <w:docPartBody>
        <w:p w:rsidR="00FF4E97" w:rsidRDefault="0053486F" w:rsidP="0053486F">
          <w:pPr>
            <w:pStyle w:val="5CF0E789F3C4435BA0046ACF89AA1952"/>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86F"/>
    <w:rsid w:val="00023F30"/>
    <w:rsid w:val="000931D0"/>
    <w:rsid w:val="000A1ABC"/>
    <w:rsid w:val="001B6A4A"/>
    <w:rsid w:val="002D2D36"/>
    <w:rsid w:val="00374339"/>
    <w:rsid w:val="004B3FBE"/>
    <w:rsid w:val="0053486F"/>
    <w:rsid w:val="00572626"/>
    <w:rsid w:val="005F1326"/>
    <w:rsid w:val="00667296"/>
    <w:rsid w:val="00687400"/>
    <w:rsid w:val="0071131B"/>
    <w:rsid w:val="00854516"/>
    <w:rsid w:val="008B3169"/>
    <w:rsid w:val="008F497E"/>
    <w:rsid w:val="00AC135F"/>
    <w:rsid w:val="00C04C41"/>
    <w:rsid w:val="00C820A8"/>
    <w:rsid w:val="00C9583D"/>
    <w:rsid w:val="00D47172"/>
    <w:rsid w:val="00DD4DD2"/>
    <w:rsid w:val="00E7152C"/>
    <w:rsid w:val="00EE7D38"/>
    <w:rsid w:val="00FF4E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CF0E789F3C4435BA0046ACF89AA1952">
    <w:name w:val="5CF0E789F3C4435BA0046ACF89AA1952"/>
    <w:rsid w:val="005348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2026-04-21T00:00:00</PublishDate>
  <Abstract/>
  <CompanyAddress>DATA EXPLORATORY AND ANALYSIS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A7297B-77C0-4662-B357-E7469EC174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17</Pages>
  <Words>3288</Words>
  <Characters>30909</Characters>
  <Application>Microsoft Office Word</Application>
  <DocSecurity>0</DocSecurity>
  <Lines>15454</Lines>
  <Paragraphs>2849</Paragraphs>
  <ScaleCrop>false</ScaleCrop>
  <HeadingPairs>
    <vt:vector size="2" baseType="variant">
      <vt:variant>
        <vt:lpstr>Title</vt:lpstr>
      </vt:variant>
      <vt:variant>
        <vt:i4>1</vt:i4>
      </vt:variant>
    </vt:vector>
  </HeadingPairs>
  <TitlesOfParts>
    <vt:vector size="1" baseType="lpstr">
      <vt:lpstr>Project:  MIMIC ICD CODER ANALYSIS</vt:lpstr>
    </vt:vector>
  </TitlesOfParts>
  <Company>nancy tanaka</Company>
  <LinksUpToDate>false</LinksUpToDate>
  <CharactersWithSpaces>31348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exploratory data analysis of mimic-iv-note V2.2: cohort construction for multi-label icd-10 auto-coding</dc:title>
  <dc:subject>MSDS458- Nancy Tanak</dc:subject>
  <dc:creator>Nancy Tanaka</dc:creator>
  <cp:keywords/>
  <dc:description/>
  <cp:lastModifiedBy>Nancy Tanaka</cp:lastModifiedBy>
  <cp:revision>14</cp:revision>
  <cp:lastPrinted>2024-10-12T21:19:00Z</cp:lastPrinted>
  <dcterms:created xsi:type="dcterms:W3CDTF">2026-04-21T21:43:00Z</dcterms:created>
  <dcterms:modified xsi:type="dcterms:W3CDTF">2026-04-23T16:45:00Z</dcterms:modified>
</cp:coreProperties>
</file>